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398"/>
      </w:tblGrid>
      <w:tr w:rsidR="00EE2F1D" w:rsidTr="00EE2F1D">
        <w:tc>
          <w:tcPr>
            <w:tcW w:w="5778" w:type="dxa"/>
          </w:tcPr>
          <w:p w:rsidR="00EE2F1D" w:rsidRPr="00EE2F1D" w:rsidRDefault="00EE2F1D" w:rsidP="00EE2F1D">
            <w:pPr>
              <w:jc w:val="right"/>
              <w:rPr>
                <w:b/>
                <w:sz w:val="32"/>
              </w:rPr>
            </w:pPr>
            <w:r>
              <w:rPr>
                <w:b/>
                <w:noProof/>
                <w:sz w:val="32"/>
              </w:rPr>
              <w:drawing>
                <wp:inline distT="0" distB="0" distL="0" distR="0">
                  <wp:extent cx="1228040" cy="577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AAI SubBrand Logos_RGB_Learning Connec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840" cy="617336"/>
                          </a:xfrm>
                          <a:prstGeom prst="rect">
                            <a:avLst/>
                          </a:prstGeom>
                        </pic:spPr>
                      </pic:pic>
                    </a:graphicData>
                  </a:graphic>
                </wp:inline>
              </w:drawing>
            </w:r>
          </w:p>
        </w:tc>
        <w:tc>
          <w:tcPr>
            <w:tcW w:w="7398" w:type="dxa"/>
            <w:vAlign w:val="center"/>
          </w:tcPr>
          <w:p w:rsidR="00EE2F1D" w:rsidRDefault="00EE2F1D" w:rsidP="00EE2F1D">
            <w:pPr>
              <w:rPr>
                <w:b/>
                <w:i/>
                <w:sz w:val="32"/>
              </w:rPr>
            </w:pPr>
            <w:r w:rsidRPr="002E7092">
              <w:rPr>
                <w:b/>
                <w:i/>
                <w:sz w:val="32"/>
              </w:rPr>
              <w:t>Put it in Practice</w:t>
            </w:r>
          </w:p>
        </w:tc>
      </w:tr>
    </w:tbl>
    <w:p w:rsidR="00B53240" w:rsidRPr="00CD0844" w:rsidRDefault="00B53240" w:rsidP="00B53240">
      <w:pPr>
        <w:jc w:val="center"/>
        <w:rPr>
          <w:b/>
          <w:sz w:val="24"/>
        </w:rPr>
      </w:pPr>
      <w:r w:rsidRPr="00CD0844">
        <w:rPr>
          <w:b/>
          <w:sz w:val="24"/>
        </w:rPr>
        <w:t xml:space="preserve">Omalizumab </w:t>
      </w:r>
      <w:r w:rsidR="00482266">
        <w:rPr>
          <w:b/>
          <w:sz w:val="24"/>
        </w:rPr>
        <w:t>vs.</w:t>
      </w:r>
      <w:r w:rsidRPr="00CD0844">
        <w:rPr>
          <w:b/>
          <w:sz w:val="24"/>
        </w:rPr>
        <w:t xml:space="preserve"> Mepolizumab for Asthma Patients:</w:t>
      </w:r>
      <w:r w:rsidRPr="00CD0844">
        <w:rPr>
          <w:b/>
          <w:sz w:val="24"/>
        </w:rPr>
        <w:br/>
        <w:t>How to Decide</w:t>
      </w:r>
    </w:p>
    <w:tbl>
      <w:tblPr>
        <w:tblStyle w:val="TableGrid"/>
        <w:tblW w:w="13248" w:type="dxa"/>
        <w:tblLayout w:type="fixed"/>
        <w:tblLook w:val="04A0" w:firstRow="1" w:lastRow="0" w:firstColumn="1" w:lastColumn="0" w:noHBand="0" w:noVBand="1"/>
      </w:tblPr>
      <w:tblGrid>
        <w:gridCol w:w="6588"/>
        <w:gridCol w:w="6660"/>
      </w:tblGrid>
      <w:tr w:rsidR="00B53240" w:rsidTr="00C51074">
        <w:tc>
          <w:tcPr>
            <w:tcW w:w="13248" w:type="dxa"/>
            <w:gridSpan w:val="2"/>
            <w:shd w:val="clear" w:color="auto" w:fill="D6E3BC" w:themeFill="accent3" w:themeFillTint="66"/>
          </w:tcPr>
          <w:p w:rsidR="00B53240" w:rsidRPr="00B53240" w:rsidRDefault="00B53240" w:rsidP="00B53240">
            <w:pPr>
              <w:jc w:val="center"/>
              <w:rPr>
                <w:b/>
              </w:rPr>
            </w:pPr>
            <w:r>
              <w:rPr>
                <w:b/>
              </w:rPr>
              <w:t>Indications</w:t>
            </w:r>
          </w:p>
        </w:tc>
      </w:tr>
      <w:tr w:rsidR="00B53240" w:rsidTr="00C51074">
        <w:tc>
          <w:tcPr>
            <w:tcW w:w="6588" w:type="dxa"/>
            <w:shd w:val="clear" w:color="auto" w:fill="CCC0D9" w:themeFill="accent4" w:themeFillTint="66"/>
          </w:tcPr>
          <w:p w:rsidR="00B53240" w:rsidRPr="00B53240" w:rsidRDefault="00B53240" w:rsidP="00B53240">
            <w:pPr>
              <w:jc w:val="center"/>
              <w:rPr>
                <w:b/>
              </w:rPr>
            </w:pPr>
            <w:r w:rsidRPr="00B53240">
              <w:rPr>
                <w:b/>
              </w:rPr>
              <w:t>Omalizumab</w:t>
            </w:r>
          </w:p>
        </w:tc>
        <w:tc>
          <w:tcPr>
            <w:tcW w:w="6660" w:type="dxa"/>
            <w:shd w:val="clear" w:color="auto" w:fill="B6DDE8" w:themeFill="accent5" w:themeFillTint="66"/>
          </w:tcPr>
          <w:p w:rsidR="00B53240" w:rsidRPr="00B53240" w:rsidRDefault="00B53240" w:rsidP="00B53240">
            <w:pPr>
              <w:jc w:val="center"/>
              <w:rPr>
                <w:b/>
              </w:rPr>
            </w:pPr>
            <w:r w:rsidRPr="00B53240">
              <w:rPr>
                <w:b/>
              </w:rPr>
              <w:t>Mepolizumab</w:t>
            </w:r>
          </w:p>
        </w:tc>
      </w:tr>
      <w:tr w:rsidR="00B53240" w:rsidTr="00EF27A0">
        <w:tc>
          <w:tcPr>
            <w:tcW w:w="6588" w:type="dxa"/>
          </w:tcPr>
          <w:p w:rsidR="00B53240" w:rsidRPr="00B53240" w:rsidRDefault="00B53240" w:rsidP="00B53240">
            <w:pPr>
              <w:rPr>
                <w:b/>
              </w:rPr>
            </w:pPr>
            <w:r w:rsidRPr="00B53240">
              <w:rPr>
                <w:b/>
              </w:rPr>
              <w:t>Asthma</w:t>
            </w:r>
          </w:p>
          <w:p w:rsidR="00B53240" w:rsidRDefault="00D536DD" w:rsidP="00B53240">
            <w:r>
              <w:t>Omalizumab</w:t>
            </w:r>
            <w:r w:rsidR="00B53240">
              <w:t xml:space="preserve"> is indicated for patients 6 years of age and older with moderate to severe persistent asthma who have a positive skin test or in vitro reactivity to a perennial aeroallergen and whose symptoms are inadequately controlled with inhaled corticosteroids.</w:t>
            </w:r>
          </w:p>
          <w:p w:rsidR="00B53240" w:rsidRDefault="00B53240" w:rsidP="00B53240"/>
          <w:p w:rsidR="00B53240" w:rsidRDefault="00D536DD" w:rsidP="00B53240">
            <w:r>
              <w:t>Omalizumab</w:t>
            </w:r>
            <w:r w:rsidR="00B53240">
              <w:t xml:space="preserve"> has been shown to decrease the incidence of asthma exacerbations in these patients.</w:t>
            </w:r>
          </w:p>
          <w:p w:rsidR="00B53240" w:rsidRDefault="00B53240" w:rsidP="00B53240"/>
          <w:p w:rsidR="00B53240" w:rsidRPr="00B53240" w:rsidRDefault="00B53240" w:rsidP="00B53240">
            <w:pPr>
              <w:rPr>
                <w:b/>
                <w:i/>
              </w:rPr>
            </w:pPr>
            <w:r w:rsidRPr="00B53240">
              <w:rPr>
                <w:b/>
                <w:i/>
              </w:rPr>
              <w:t>Limitations Of Use</w:t>
            </w:r>
          </w:p>
          <w:p w:rsidR="00B53240" w:rsidRDefault="00D536DD" w:rsidP="00B53240">
            <w:pPr>
              <w:pStyle w:val="ListParagraph"/>
              <w:numPr>
                <w:ilvl w:val="0"/>
                <w:numId w:val="1"/>
              </w:numPr>
              <w:ind w:left="180" w:hanging="180"/>
            </w:pPr>
            <w:r>
              <w:t>Omalizumab</w:t>
            </w:r>
            <w:r w:rsidR="00B53240">
              <w:t xml:space="preserve"> is not indicated for the relief of acute bronchospasm or status asthmaticus.</w:t>
            </w:r>
          </w:p>
          <w:p w:rsidR="00B53240" w:rsidRDefault="00D536DD" w:rsidP="00B53240">
            <w:pPr>
              <w:pStyle w:val="ListParagraph"/>
              <w:numPr>
                <w:ilvl w:val="0"/>
                <w:numId w:val="1"/>
              </w:numPr>
              <w:ind w:left="180" w:hanging="180"/>
            </w:pPr>
            <w:r>
              <w:t>Omalizumab</w:t>
            </w:r>
            <w:r w:rsidR="00B53240">
              <w:t xml:space="preserve"> is not indicated for treatment of other allergic conditions.</w:t>
            </w:r>
          </w:p>
          <w:p w:rsidR="00B53240" w:rsidRDefault="00B53240" w:rsidP="00B53240">
            <w:pPr>
              <w:pStyle w:val="ListParagraph"/>
              <w:ind w:left="180"/>
            </w:pPr>
          </w:p>
          <w:p w:rsidR="00B53240" w:rsidRPr="00B53240" w:rsidRDefault="00B53240" w:rsidP="00B53240">
            <w:pPr>
              <w:rPr>
                <w:b/>
              </w:rPr>
            </w:pPr>
            <w:r w:rsidRPr="00B53240">
              <w:rPr>
                <w:b/>
              </w:rPr>
              <w:t>Chronic Idiopathic Urticaria (CIU)</w:t>
            </w:r>
          </w:p>
          <w:p w:rsidR="00B53240" w:rsidRDefault="00B53240" w:rsidP="00B53240"/>
          <w:p w:rsidR="00B53240" w:rsidRDefault="00D536DD" w:rsidP="00B53240">
            <w:r>
              <w:t>Omalizumab</w:t>
            </w:r>
            <w:r w:rsidR="00B53240">
              <w:t xml:space="preserve"> is indicated for the treatment of adults and adolescents 12 years of age and older with chronic idiopathic urticarial who remain symptomatic despite H1 antihistamine treatment.</w:t>
            </w:r>
          </w:p>
          <w:p w:rsidR="00B53240" w:rsidRDefault="00B53240" w:rsidP="00B53240"/>
          <w:p w:rsidR="00B53240" w:rsidRPr="00B53240" w:rsidRDefault="00B53240" w:rsidP="00B53240">
            <w:pPr>
              <w:rPr>
                <w:b/>
                <w:i/>
              </w:rPr>
            </w:pPr>
            <w:r w:rsidRPr="00B53240">
              <w:rPr>
                <w:b/>
                <w:i/>
              </w:rPr>
              <w:t>Limitation Of Use</w:t>
            </w:r>
          </w:p>
          <w:p w:rsidR="00B53240" w:rsidRDefault="00B53240" w:rsidP="00B53240"/>
          <w:p w:rsidR="00B53240" w:rsidRDefault="00D536DD" w:rsidP="00B53240">
            <w:r>
              <w:t>Omalizumab</w:t>
            </w:r>
            <w:r w:rsidR="00B53240">
              <w:t xml:space="preserve"> is not indicated for treatment of other forms of urticaria.</w:t>
            </w:r>
          </w:p>
          <w:p w:rsidR="00EE2F1D" w:rsidRDefault="00EE2F1D" w:rsidP="00B53240"/>
        </w:tc>
        <w:tc>
          <w:tcPr>
            <w:tcW w:w="6660" w:type="dxa"/>
          </w:tcPr>
          <w:p w:rsidR="00A206AC" w:rsidRPr="00A206AC" w:rsidRDefault="00A206AC" w:rsidP="006059A4">
            <w:pPr>
              <w:rPr>
                <w:b/>
              </w:rPr>
            </w:pPr>
            <w:r>
              <w:rPr>
                <w:b/>
              </w:rPr>
              <w:t>Asthma</w:t>
            </w:r>
          </w:p>
          <w:p w:rsidR="006059A4" w:rsidRDefault="00A206AC" w:rsidP="006059A4">
            <w:r>
              <w:t xml:space="preserve">Mepolizumab </w:t>
            </w:r>
            <w:r w:rsidR="006059A4">
              <w:t>is indicated for the add-on maintenance treatment of patients with severe asthma aged 12 years and older, and with an eosinophilic phenotype. [See Clinical Studies]</w:t>
            </w:r>
          </w:p>
          <w:p w:rsidR="006059A4" w:rsidRDefault="006059A4" w:rsidP="006059A4"/>
          <w:p w:rsidR="006059A4" w:rsidRPr="00A206AC" w:rsidRDefault="006059A4" w:rsidP="006059A4">
            <w:pPr>
              <w:rPr>
                <w:b/>
                <w:i/>
              </w:rPr>
            </w:pPr>
            <w:r w:rsidRPr="00A206AC">
              <w:rPr>
                <w:b/>
                <w:i/>
              </w:rPr>
              <w:t>Limitations of Use</w:t>
            </w:r>
          </w:p>
          <w:p w:rsidR="006059A4" w:rsidRDefault="00A206AC" w:rsidP="00A206AC">
            <w:pPr>
              <w:pStyle w:val="ListParagraph"/>
              <w:numPr>
                <w:ilvl w:val="0"/>
                <w:numId w:val="3"/>
              </w:numPr>
              <w:ind w:left="162" w:hanging="180"/>
            </w:pPr>
            <w:r>
              <w:t xml:space="preserve">Mepolizumab </w:t>
            </w:r>
            <w:r w:rsidR="006059A4">
              <w:t>is not indicated for treatment of other eosinophilic conditions.</w:t>
            </w:r>
          </w:p>
          <w:p w:rsidR="00B53240" w:rsidRDefault="00A206AC" w:rsidP="00A206AC">
            <w:pPr>
              <w:pStyle w:val="ListParagraph"/>
              <w:numPr>
                <w:ilvl w:val="0"/>
                <w:numId w:val="3"/>
              </w:numPr>
              <w:ind w:left="162" w:hanging="180"/>
            </w:pPr>
            <w:r>
              <w:t xml:space="preserve">Mepolizumab </w:t>
            </w:r>
            <w:r w:rsidR="006059A4">
              <w:t>is not indicated for the relief of acute bronchospasm or status asthmaticus.</w:t>
            </w:r>
          </w:p>
        </w:tc>
      </w:tr>
    </w:tbl>
    <w:p w:rsidR="00C51074" w:rsidRDefault="00C51074"/>
    <w:tbl>
      <w:tblPr>
        <w:tblStyle w:val="TableGrid"/>
        <w:tblW w:w="13248" w:type="dxa"/>
        <w:tblLayout w:type="fixed"/>
        <w:tblLook w:val="04A0" w:firstRow="1" w:lastRow="0" w:firstColumn="1" w:lastColumn="0" w:noHBand="0" w:noVBand="1"/>
      </w:tblPr>
      <w:tblGrid>
        <w:gridCol w:w="6588"/>
        <w:gridCol w:w="6660"/>
      </w:tblGrid>
      <w:tr w:rsidR="00B53240" w:rsidTr="00C51074">
        <w:tc>
          <w:tcPr>
            <w:tcW w:w="13248" w:type="dxa"/>
            <w:gridSpan w:val="2"/>
            <w:shd w:val="clear" w:color="auto" w:fill="D6E3BC" w:themeFill="accent3" w:themeFillTint="66"/>
          </w:tcPr>
          <w:p w:rsidR="00B53240" w:rsidRPr="00C51074" w:rsidRDefault="00B53240" w:rsidP="00B53240">
            <w:pPr>
              <w:jc w:val="center"/>
              <w:rPr>
                <w:b/>
              </w:rPr>
            </w:pPr>
            <w:r w:rsidRPr="00C51074">
              <w:rPr>
                <w:b/>
              </w:rPr>
              <w:t>Dosage</w:t>
            </w:r>
          </w:p>
        </w:tc>
      </w:tr>
      <w:tr w:rsidR="00C51074" w:rsidTr="00C51074">
        <w:tc>
          <w:tcPr>
            <w:tcW w:w="6588" w:type="dxa"/>
            <w:shd w:val="clear" w:color="auto" w:fill="CCC0D9" w:themeFill="accent4" w:themeFillTint="66"/>
          </w:tcPr>
          <w:p w:rsidR="00C51074" w:rsidRPr="00B53240" w:rsidRDefault="00C51074" w:rsidP="00C51074">
            <w:pPr>
              <w:jc w:val="center"/>
              <w:rPr>
                <w:b/>
              </w:rPr>
            </w:pPr>
            <w:r w:rsidRPr="00B53240">
              <w:rPr>
                <w:b/>
              </w:rPr>
              <w:t>Omalizumab</w:t>
            </w:r>
          </w:p>
        </w:tc>
        <w:tc>
          <w:tcPr>
            <w:tcW w:w="6660" w:type="dxa"/>
            <w:shd w:val="clear" w:color="auto" w:fill="B6DDE8" w:themeFill="accent5" w:themeFillTint="66"/>
          </w:tcPr>
          <w:p w:rsidR="00C51074" w:rsidRPr="00B53240" w:rsidRDefault="00C51074" w:rsidP="00C51074">
            <w:pPr>
              <w:jc w:val="center"/>
              <w:rPr>
                <w:b/>
              </w:rPr>
            </w:pPr>
            <w:r w:rsidRPr="00B53240">
              <w:rPr>
                <w:b/>
              </w:rPr>
              <w:t>Mepolizumab</w:t>
            </w:r>
          </w:p>
        </w:tc>
      </w:tr>
      <w:tr w:rsidR="00C51074" w:rsidTr="00EF27A0">
        <w:tc>
          <w:tcPr>
            <w:tcW w:w="6588" w:type="dxa"/>
          </w:tcPr>
          <w:p w:rsidR="00C51074" w:rsidRPr="00B53240" w:rsidRDefault="00C51074" w:rsidP="00C51074">
            <w:pPr>
              <w:rPr>
                <w:b/>
              </w:rPr>
            </w:pPr>
            <w:r w:rsidRPr="00B53240">
              <w:rPr>
                <w:b/>
              </w:rPr>
              <w:t>Dosage For Asthma</w:t>
            </w:r>
          </w:p>
          <w:p w:rsidR="00C51074" w:rsidRPr="00B53240" w:rsidRDefault="00C51074" w:rsidP="00C51074">
            <w:pPr>
              <w:rPr>
                <w:b/>
              </w:rPr>
            </w:pPr>
          </w:p>
          <w:p w:rsidR="00C51074" w:rsidRPr="00B53240" w:rsidRDefault="00C51074" w:rsidP="00C51074">
            <w:r w:rsidRPr="00B53240">
              <w:t xml:space="preserve">Administer </w:t>
            </w:r>
            <w:r>
              <w:t>Omalizumab</w:t>
            </w:r>
            <w:r w:rsidRPr="00B53240">
              <w:t xml:space="preserve"> 75 to 375 mg by subcutaneous injection every 2 or 4 weeks. Determine dose (mg) and dosing frequency by serum total IgE level (IU/mL) measured before the start of treatment, and by body weight (kg).</w:t>
            </w:r>
          </w:p>
          <w:p w:rsidR="00C51074" w:rsidRPr="00B53240" w:rsidRDefault="00C51074" w:rsidP="00C51074"/>
          <w:p w:rsidR="00C51074" w:rsidRPr="00B53240" w:rsidRDefault="00C51074" w:rsidP="00C51074">
            <w:r w:rsidRPr="00B53240">
              <w:t>Adjust doses for significant changes in body weight during treatment (see Table 1, 2 and 3).</w:t>
            </w:r>
          </w:p>
          <w:p w:rsidR="00C51074" w:rsidRPr="00B53240" w:rsidRDefault="00C51074" w:rsidP="00C51074"/>
          <w:p w:rsidR="00C51074" w:rsidRPr="00B53240" w:rsidRDefault="00C51074" w:rsidP="00C51074">
            <w:r w:rsidRPr="00B53240">
              <w:t xml:space="preserve">Total IgE levels are elevated during treatment and remain elevated for up to one year after the discontinuation of treatment. Therefore, re-testing of IgE levels during </w:t>
            </w:r>
            <w:r>
              <w:t>Omalizumab</w:t>
            </w:r>
            <w:r w:rsidRPr="00B53240">
              <w:t xml:space="preserve"> treatment cannot be used as a guide for dose determination.</w:t>
            </w:r>
          </w:p>
          <w:p w:rsidR="00C51074" w:rsidRPr="00B53240" w:rsidRDefault="00C51074" w:rsidP="00C51074"/>
          <w:p w:rsidR="00C51074" w:rsidRPr="00B53240" w:rsidRDefault="00C51074" w:rsidP="00C51074">
            <w:pPr>
              <w:pStyle w:val="ListParagraph"/>
              <w:numPr>
                <w:ilvl w:val="0"/>
                <w:numId w:val="2"/>
              </w:numPr>
              <w:ind w:left="180" w:hanging="180"/>
            </w:pPr>
            <w:r w:rsidRPr="00B53240">
              <w:t>Interruptions lasting less than one year: Dose based on serum IgE levels obtained at the initial dose determination.</w:t>
            </w:r>
          </w:p>
          <w:p w:rsidR="00C51074" w:rsidRDefault="00C51074" w:rsidP="00C51074">
            <w:pPr>
              <w:pStyle w:val="ListParagraph"/>
              <w:numPr>
                <w:ilvl w:val="0"/>
                <w:numId w:val="2"/>
              </w:numPr>
              <w:ind w:left="180" w:hanging="180"/>
            </w:pPr>
            <w:r w:rsidRPr="00B53240">
              <w:t>Interruptions lasting one year or more: Re-test total serum IgE levels for dose determination using Table 1, 2, or 3 based on the patient's age.</w:t>
            </w:r>
          </w:p>
          <w:p w:rsidR="00C51074" w:rsidRPr="00B53240" w:rsidRDefault="00C51074" w:rsidP="00C51074">
            <w:pPr>
              <w:pStyle w:val="ListParagraph"/>
              <w:ind w:left="180"/>
            </w:pPr>
          </w:p>
          <w:p w:rsidR="00C51074" w:rsidRPr="00B53240" w:rsidRDefault="00C51074" w:rsidP="00C51074">
            <w:r w:rsidRPr="00B53240">
              <w:t>Periodically reassess the need for continued therapy based upon the patient's disease severity and level of asthma control.</w:t>
            </w:r>
          </w:p>
          <w:p w:rsidR="00C51074" w:rsidRPr="00B53240" w:rsidRDefault="00C51074" w:rsidP="00C51074"/>
          <w:p w:rsidR="00C51074" w:rsidRDefault="00C51074" w:rsidP="00C51074">
            <w:r w:rsidRPr="00B53240">
              <w:rPr>
                <w:b/>
                <w:i/>
              </w:rPr>
              <w:t xml:space="preserve">Adult and adolescent patients 12 years of age and older: </w:t>
            </w:r>
            <w:r w:rsidRPr="00B53240">
              <w:t>Initiate dosing according to Table 1 or 2.</w:t>
            </w:r>
          </w:p>
          <w:p w:rsidR="00C51074" w:rsidRDefault="00C51074" w:rsidP="00C51074"/>
          <w:p w:rsidR="00C51074" w:rsidRPr="00D536DD" w:rsidRDefault="00C51074" w:rsidP="00C51074">
            <w:pPr>
              <w:rPr>
                <w:b/>
              </w:rPr>
            </w:pPr>
            <w:r w:rsidRPr="00D536DD">
              <w:rPr>
                <w:b/>
              </w:rPr>
              <w:t xml:space="preserve">Table 1: Subcutaneous </w:t>
            </w:r>
            <w:r>
              <w:rPr>
                <w:b/>
              </w:rPr>
              <w:t>Omalizumab</w:t>
            </w:r>
            <w:r w:rsidRPr="00D536DD">
              <w:rPr>
                <w:b/>
              </w:rPr>
              <w:t xml:space="preserve"> Doses Every 4 Weeks for Patients 12 Years of Age and Older with Asthma</w:t>
            </w:r>
          </w:p>
          <w:tbl>
            <w:tblPr>
              <w:tblW w:w="6194"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980"/>
              <w:gridCol w:w="1052"/>
              <w:gridCol w:w="1053"/>
              <w:gridCol w:w="1053"/>
              <w:gridCol w:w="1056"/>
            </w:tblGrid>
            <w:tr w:rsidR="00C51074" w:rsidRPr="00D536DD" w:rsidTr="00B82918">
              <w:trPr>
                <w:trHeight w:val="171"/>
              </w:trPr>
              <w:tc>
                <w:tcPr>
                  <w:tcW w:w="1980" w:type="dxa"/>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lastRenderedPageBreak/>
                    <w:t>PRE-TREATMENT</w:t>
                  </w:r>
                </w:p>
              </w:tc>
              <w:tc>
                <w:tcPr>
                  <w:tcW w:w="4214" w:type="dxa"/>
                  <w:gridSpan w:val="4"/>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t>BODY WEIGHT</w:t>
                  </w:r>
                </w:p>
              </w:tc>
            </w:tr>
            <w:tr w:rsidR="00C51074" w:rsidRPr="00D536DD" w:rsidTr="00B82918">
              <w:trPr>
                <w:trHeight w:val="171"/>
              </w:trPr>
              <w:tc>
                <w:tcPr>
                  <w:tcW w:w="1980" w:type="dxa"/>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t>SERUM IGE</w:t>
                  </w:r>
                </w:p>
              </w:tc>
              <w:tc>
                <w:tcPr>
                  <w:tcW w:w="1052" w:type="dxa"/>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t>30-60 KG</w:t>
                  </w:r>
                </w:p>
              </w:tc>
              <w:tc>
                <w:tcPr>
                  <w:tcW w:w="1053" w:type="dxa"/>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t>&gt; 60-70 KG</w:t>
                  </w:r>
                </w:p>
              </w:tc>
              <w:tc>
                <w:tcPr>
                  <w:tcW w:w="1053" w:type="dxa"/>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t>&gt; 70-90 KG</w:t>
                  </w:r>
                </w:p>
              </w:tc>
              <w:tc>
                <w:tcPr>
                  <w:tcW w:w="1054" w:type="dxa"/>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t>&gt; 90-150 KG</w:t>
                  </w:r>
                </w:p>
              </w:tc>
            </w:tr>
            <w:tr w:rsidR="00C51074" w:rsidRPr="00D536DD" w:rsidTr="00B82918">
              <w:trPr>
                <w:trHeight w:val="171"/>
              </w:trPr>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 30-100 IU/mL</w:t>
                  </w:r>
                </w:p>
              </w:tc>
              <w:tc>
                <w:tcPr>
                  <w:tcW w:w="1052"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150 mg</w:t>
                  </w:r>
                </w:p>
              </w:tc>
              <w:tc>
                <w:tcPr>
                  <w:tcW w:w="1053"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150 mg</w:t>
                  </w:r>
                </w:p>
              </w:tc>
              <w:tc>
                <w:tcPr>
                  <w:tcW w:w="1053"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150 mg</w:t>
                  </w:r>
                </w:p>
              </w:tc>
              <w:tc>
                <w:tcPr>
                  <w:tcW w:w="1054"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300 mg</w:t>
                  </w:r>
                </w:p>
              </w:tc>
            </w:tr>
            <w:tr w:rsidR="00C51074" w:rsidRPr="00D536DD" w:rsidTr="00B82918">
              <w:trPr>
                <w:trHeight w:val="320"/>
              </w:trPr>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&gt; 100-200 IU/mL</w:t>
                  </w:r>
                </w:p>
              </w:tc>
              <w:tc>
                <w:tcPr>
                  <w:tcW w:w="1052"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300 mg</w:t>
                  </w:r>
                </w:p>
              </w:tc>
              <w:tc>
                <w:tcPr>
                  <w:tcW w:w="1053"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300 mg</w:t>
                  </w:r>
                </w:p>
              </w:tc>
              <w:tc>
                <w:tcPr>
                  <w:tcW w:w="1053"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300 mg</w:t>
                  </w:r>
                </w:p>
              </w:tc>
              <w:tc>
                <w:tcPr>
                  <w:tcW w:w="1054"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rPr>
                      <w:rFonts w:ascii="Arial" w:eastAsia="Times New Roman" w:hAnsi="Arial" w:cs="Arial"/>
                      <w:color w:val="000000"/>
                      <w:sz w:val="18"/>
                      <w:szCs w:val="18"/>
                    </w:rPr>
                  </w:pPr>
                  <w:r w:rsidRPr="00D536DD">
                    <w:rPr>
                      <w:rFonts w:ascii="Arial" w:eastAsia="Times New Roman" w:hAnsi="Arial" w:cs="Arial"/>
                      <w:color w:val="000000"/>
                      <w:sz w:val="18"/>
                      <w:szCs w:val="18"/>
                    </w:rPr>
                    <w:t> </w:t>
                  </w:r>
                </w:p>
              </w:tc>
            </w:tr>
            <w:tr w:rsidR="00C51074" w:rsidRPr="00D536DD" w:rsidTr="00B82918">
              <w:trPr>
                <w:trHeight w:val="320"/>
              </w:trPr>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&gt; 200-300 IU/mL</w:t>
                  </w:r>
                </w:p>
              </w:tc>
              <w:tc>
                <w:tcPr>
                  <w:tcW w:w="1052"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300 mg</w:t>
                  </w:r>
                </w:p>
              </w:tc>
              <w:tc>
                <w:tcPr>
                  <w:tcW w:w="1053"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rPr>
                      <w:rFonts w:ascii="Arial" w:eastAsia="Times New Roman" w:hAnsi="Arial" w:cs="Arial"/>
                      <w:color w:val="000000"/>
                      <w:sz w:val="18"/>
                      <w:szCs w:val="18"/>
                    </w:rPr>
                  </w:pPr>
                  <w:r w:rsidRPr="00D536DD">
                    <w:rPr>
                      <w:rFonts w:ascii="Arial" w:eastAsia="Times New Roman" w:hAnsi="Arial" w:cs="Arial"/>
                      <w:color w:val="000000"/>
                      <w:sz w:val="18"/>
                      <w:szCs w:val="18"/>
                    </w:rPr>
                    <w:t> </w:t>
                  </w:r>
                </w:p>
              </w:tc>
              <w:tc>
                <w:tcPr>
                  <w:tcW w:w="1053"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rPr>
                      <w:rFonts w:ascii="Arial" w:eastAsia="Times New Roman" w:hAnsi="Arial" w:cs="Arial"/>
                      <w:color w:val="000000"/>
                      <w:sz w:val="18"/>
                      <w:szCs w:val="18"/>
                    </w:rPr>
                  </w:pPr>
                  <w:r w:rsidRPr="00D536DD">
                    <w:rPr>
                      <w:rFonts w:ascii="Arial" w:eastAsia="Times New Roman" w:hAnsi="Arial" w:cs="Arial"/>
                      <w:color w:val="000000"/>
                      <w:sz w:val="18"/>
                      <w:szCs w:val="18"/>
                    </w:rPr>
                    <w:t> </w:t>
                  </w:r>
                </w:p>
              </w:tc>
              <w:tc>
                <w:tcPr>
                  <w:tcW w:w="1054"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rPr>
                      <w:rFonts w:ascii="Arial" w:eastAsia="Times New Roman" w:hAnsi="Arial" w:cs="Arial"/>
                      <w:color w:val="000000"/>
                      <w:sz w:val="18"/>
                      <w:szCs w:val="18"/>
                    </w:rPr>
                  </w:pPr>
                  <w:r w:rsidRPr="00D536DD">
                    <w:rPr>
                      <w:rFonts w:ascii="Arial" w:eastAsia="Times New Roman" w:hAnsi="Arial" w:cs="Arial"/>
                      <w:color w:val="000000"/>
                      <w:sz w:val="18"/>
                      <w:szCs w:val="18"/>
                    </w:rPr>
                    <w:t> </w:t>
                  </w:r>
                </w:p>
              </w:tc>
            </w:tr>
            <w:tr w:rsidR="00C51074" w:rsidRPr="00D536DD" w:rsidTr="00B82918">
              <w:trPr>
                <w:trHeight w:val="320"/>
              </w:trPr>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&gt; 300-400 IU/mL</w:t>
                  </w:r>
                </w:p>
              </w:tc>
              <w:tc>
                <w:tcPr>
                  <w:tcW w:w="4214" w:type="dxa"/>
                  <w:gridSpan w:val="4"/>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SEE TABLE 2</w:t>
                  </w:r>
                </w:p>
              </w:tc>
            </w:tr>
            <w:tr w:rsidR="00C51074" w:rsidRPr="00D536DD" w:rsidTr="00B82918">
              <w:trPr>
                <w:trHeight w:val="320"/>
              </w:trPr>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&gt; 400-500 IU/mL</w:t>
                  </w:r>
                </w:p>
              </w:tc>
              <w:tc>
                <w:tcPr>
                  <w:tcW w:w="1052"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rPr>
                      <w:rFonts w:ascii="Arial" w:eastAsia="Times New Roman" w:hAnsi="Arial" w:cs="Arial"/>
                      <w:color w:val="000000"/>
                      <w:sz w:val="18"/>
                      <w:szCs w:val="18"/>
                    </w:rPr>
                  </w:pPr>
                  <w:r w:rsidRPr="00D536DD">
                    <w:rPr>
                      <w:rFonts w:ascii="Arial" w:eastAsia="Times New Roman" w:hAnsi="Arial" w:cs="Arial"/>
                      <w:color w:val="000000"/>
                      <w:sz w:val="18"/>
                      <w:szCs w:val="18"/>
                    </w:rPr>
                    <w:t> </w:t>
                  </w:r>
                </w:p>
              </w:tc>
              <w:tc>
                <w:tcPr>
                  <w:tcW w:w="1053"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rPr>
                      <w:rFonts w:ascii="Arial" w:eastAsia="Times New Roman" w:hAnsi="Arial" w:cs="Arial"/>
                      <w:color w:val="000000"/>
                      <w:sz w:val="18"/>
                      <w:szCs w:val="18"/>
                    </w:rPr>
                  </w:pPr>
                  <w:r w:rsidRPr="00D536DD">
                    <w:rPr>
                      <w:rFonts w:ascii="Arial" w:eastAsia="Times New Roman" w:hAnsi="Arial" w:cs="Arial"/>
                      <w:color w:val="000000"/>
                      <w:sz w:val="18"/>
                      <w:szCs w:val="18"/>
                    </w:rPr>
                    <w:t> </w:t>
                  </w:r>
                </w:p>
              </w:tc>
              <w:tc>
                <w:tcPr>
                  <w:tcW w:w="1053"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rPr>
                      <w:rFonts w:ascii="Arial" w:eastAsia="Times New Roman" w:hAnsi="Arial" w:cs="Arial"/>
                      <w:color w:val="000000"/>
                      <w:sz w:val="18"/>
                      <w:szCs w:val="18"/>
                    </w:rPr>
                  </w:pPr>
                  <w:r w:rsidRPr="00D536DD">
                    <w:rPr>
                      <w:rFonts w:ascii="Arial" w:eastAsia="Times New Roman" w:hAnsi="Arial" w:cs="Arial"/>
                      <w:color w:val="000000"/>
                      <w:sz w:val="18"/>
                      <w:szCs w:val="18"/>
                    </w:rPr>
                    <w:t> </w:t>
                  </w:r>
                </w:p>
              </w:tc>
              <w:tc>
                <w:tcPr>
                  <w:tcW w:w="1054"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rPr>
                      <w:rFonts w:ascii="Arial" w:eastAsia="Times New Roman" w:hAnsi="Arial" w:cs="Arial"/>
                      <w:color w:val="000000"/>
                      <w:sz w:val="18"/>
                      <w:szCs w:val="18"/>
                    </w:rPr>
                  </w:pPr>
                  <w:r w:rsidRPr="00D536DD">
                    <w:rPr>
                      <w:rFonts w:ascii="Arial" w:eastAsia="Times New Roman" w:hAnsi="Arial" w:cs="Arial"/>
                      <w:color w:val="000000"/>
                      <w:sz w:val="18"/>
                      <w:szCs w:val="18"/>
                    </w:rPr>
                    <w:t> </w:t>
                  </w:r>
                </w:p>
              </w:tc>
            </w:tr>
            <w:tr w:rsidR="00C51074" w:rsidRPr="00D536DD" w:rsidTr="00B82918">
              <w:trPr>
                <w:trHeight w:val="320"/>
              </w:trPr>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jc w:val="center"/>
                    <w:rPr>
                      <w:rFonts w:ascii="Arial" w:eastAsia="Times New Roman" w:hAnsi="Arial" w:cs="Arial"/>
                      <w:color w:val="000000"/>
                      <w:sz w:val="18"/>
                      <w:szCs w:val="18"/>
                    </w:rPr>
                  </w:pPr>
                  <w:r w:rsidRPr="00D536DD">
                    <w:rPr>
                      <w:rFonts w:ascii="Arial" w:eastAsia="Times New Roman" w:hAnsi="Arial" w:cs="Arial"/>
                      <w:color w:val="000000"/>
                      <w:sz w:val="18"/>
                      <w:szCs w:val="18"/>
                    </w:rPr>
                    <w:t>&gt; 500-600 IU/mL</w:t>
                  </w:r>
                </w:p>
              </w:tc>
              <w:tc>
                <w:tcPr>
                  <w:tcW w:w="4214" w:type="dxa"/>
                  <w:gridSpan w:val="4"/>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70" w:lineRule="atLeast"/>
                    <w:rPr>
                      <w:rFonts w:ascii="Arial" w:eastAsia="Times New Roman" w:hAnsi="Arial" w:cs="Arial"/>
                      <w:color w:val="000000"/>
                      <w:sz w:val="18"/>
                      <w:szCs w:val="18"/>
                    </w:rPr>
                  </w:pPr>
                  <w:r w:rsidRPr="00D536DD">
                    <w:rPr>
                      <w:rFonts w:ascii="Arial" w:eastAsia="Times New Roman" w:hAnsi="Arial" w:cs="Arial"/>
                      <w:color w:val="000000"/>
                      <w:sz w:val="18"/>
                      <w:szCs w:val="18"/>
                    </w:rPr>
                    <w:t> </w:t>
                  </w:r>
                </w:p>
              </w:tc>
            </w:tr>
          </w:tbl>
          <w:p w:rsidR="00C51074" w:rsidRDefault="00C51074" w:rsidP="00C51074">
            <w:pPr>
              <w:rPr>
                <w:b/>
              </w:rPr>
            </w:pPr>
          </w:p>
          <w:p w:rsidR="00C51074" w:rsidRPr="00D536DD" w:rsidRDefault="00C51074" w:rsidP="00C51074">
            <w:pPr>
              <w:rPr>
                <w:rFonts w:ascii="Arial" w:eastAsia="Times New Roman" w:hAnsi="Arial" w:cs="Arial"/>
                <w:color w:val="000000"/>
                <w:sz w:val="21"/>
                <w:szCs w:val="21"/>
              </w:rPr>
            </w:pPr>
            <w:r w:rsidRPr="00D536DD">
              <w:rPr>
                <w:b/>
              </w:rPr>
              <w:t xml:space="preserve">Table 2: Subcutaneous </w:t>
            </w:r>
            <w:r>
              <w:rPr>
                <w:b/>
              </w:rPr>
              <w:t>Omalizumab</w:t>
            </w:r>
            <w:r w:rsidRPr="00D536DD">
              <w:rPr>
                <w:b/>
              </w:rPr>
              <w:t xml:space="preserve"> Doses Every 2 Weeks for Patients 12 Years of Age and Older with Asthma</w:t>
            </w:r>
          </w:p>
          <w:tbl>
            <w:tblPr>
              <w:tblW w:w="6329" w:type="dxa"/>
              <w:jc w:val="center"/>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2024"/>
              <w:gridCol w:w="1075"/>
              <w:gridCol w:w="1076"/>
              <w:gridCol w:w="1077"/>
              <w:gridCol w:w="1077"/>
            </w:tblGrid>
            <w:tr w:rsidR="00C51074" w:rsidRPr="00D536DD" w:rsidTr="00B82918">
              <w:trPr>
                <w:trHeight w:val="205"/>
                <w:jc w:val="center"/>
              </w:trPr>
              <w:tc>
                <w:tcPr>
                  <w:tcW w:w="2024" w:type="dxa"/>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t>PRE-TREATMENT</w:t>
                  </w:r>
                </w:p>
              </w:tc>
              <w:tc>
                <w:tcPr>
                  <w:tcW w:w="4305" w:type="dxa"/>
                  <w:gridSpan w:val="4"/>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t>BODY WEIGHT</w:t>
                  </w:r>
                </w:p>
              </w:tc>
            </w:tr>
            <w:tr w:rsidR="00C51074" w:rsidRPr="00D536DD" w:rsidTr="00B82918">
              <w:trPr>
                <w:trHeight w:val="396"/>
                <w:jc w:val="center"/>
              </w:trPr>
              <w:tc>
                <w:tcPr>
                  <w:tcW w:w="2024" w:type="dxa"/>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t>SERUM IGE</w:t>
                  </w:r>
                </w:p>
              </w:tc>
              <w:tc>
                <w:tcPr>
                  <w:tcW w:w="1075" w:type="dxa"/>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t>30-60 KG</w:t>
                  </w:r>
                </w:p>
              </w:tc>
              <w:tc>
                <w:tcPr>
                  <w:tcW w:w="1076" w:type="dxa"/>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t>&gt; 60-70 KG</w:t>
                  </w:r>
                </w:p>
              </w:tc>
              <w:tc>
                <w:tcPr>
                  <w:tcW w:w="1076" w:type="dxa"/>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t>&gt; 70-90 KG</w:t>
                  </w:r>
                </w:p>
              </w:tc>
              <w:tc>
                <w:tcPr>
                  <w:tcW w:w="1076" w:type="dxa"/>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b/>
                      <w:bCs/>
                      <w:caps/>
                      <w:color w:val="FFFFFF"/>
                      <w:sz w:val="18"/>
                      <w:szCs w:val="18"/>
                    </w:rPr>
                  </w:pPr>
                  <w:r w:rsidRPr="00D536DD">
                    <w:rPr>
                      <w:rFonts w:ascii="Arial" w:eastAsia="Times New Roman" w:hAnsi="Arial" w:cs="Arial"/>
                      <w:b/>
                      <w:bCs/>
                      <w:caps/>
                      <w:color w:val="FFFFFF"/>
                      <w:sz w:val="18"/>
                      <w:szCs w:val="18"/>
                    </w:rPr>
                    <w:t>&gt; 90-150 KG</w:t>
                  </w:r>
                </w:p>
              </w:tc>
            </w:tr>
            <w:tr w:rsidR="00C51074" w:rsidRPr="00D536DD" w:rsidTr="00B82918">
              <w:trPr>
                <w:trHeight w:val="205"/>
                <w:jc w:val="center"/>
              </w:trPr>
              <w:tc>
                <w:tcPr>
                  <w:tcW w:w="2024"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 30-100 IU/mL</w:t>
                  </w:r>
                </w:p>
              </w:tc>
              <w:tc>
                <w:tcPr>
                  <w:tcW w:w="3228" w:type="dxa"/>
                  <w:gridSpan w:val="3"/>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SEE TABLE 1</w:t>
                  </w:r>
                </w:p>
              </w:tc>
              <w:tc>
                <w:tcPr>
                  <w:tcW w:w="107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rPr>
                      <w:rFonts w:ascii="Arial" w:eastAsia="Times New Roman" w:hAnsi="Arial" w:cs="Arial"/>
                      <w:sz w:val="18"/>
                      <w:szCs w:val="18"/>
                    </w:rPr>
                  </w:pPr>
                  <w:r w:rsidRPr="00D536DD">
                    <w:rPr>
                      <w:rFonts w:ascii="Arial" w:eastAsia="Times New Roman" w:hAnsi="Arial" w:cs="Arial"/>
                      <w:sz w:val="18"/>
                      <w:szCs w:val="18"/>
                    </w:rPr>
                    <w:t> </w:t>
                  </w:r>
                </w:p>
              </w:tc>
            </w:tr>
            <w:tr w:rsidR="00C51074" w:rsidRPr="00D536DD" w:rsidTr="00B82918">
              <w:trPr>
                <w:trHeight w:val="205"/>
                <w:jc w:val="center"/>
              </w:trPr>
              <w:tc>
                <w:tcPr>
                  <w:tcW w:w="2024"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&gt; 100-200 IU/mL</w:t>
                  </w:r>
                </w:p>
              </w:tc>
              <w:tc>
                <w:tcPr>
                  <w:tcW w:w="3228" w:type="dxa"/>
                  <w:gridSpan w:val="3"/>
                  <w:vMerge/>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C51074" w:rsidRPr="00D536DD" w:rsidRDefault="00C51074" w:rsidP="00C51074">
                  <w:pPr>
                    <w:spacing w:after="0" w:line="240" w:lineRule="auto"/>
                    <w:rPr>
                      <w:rFonts w:ascii="Arial" w:eastAsia="Times New Roman" w:hAnsi="Arial" w:cs="Arial"/>
                      <w:sz w:val="18"/>
                      <w:szCs w:val="18"/>
                    </w:rPr>
                  </w:pPr>
                </w:p>
              </w:tc>
              <w:tc>
                <w:tcPr>
                  <w:tcW w:w="107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225 mg</w:t>
                  </w:r>
                </w:p>
              </w:tc>
            </w:tr>
            <w:tr w:rsidR="00C51074" w:rsidRPr="00D536DD" w:rsidTr="00B82918">
              <w:trPr>
                <w:trHeight w:val="205"/>
                <w:jc w:val="center"/>
              </w:trPr>
              <w:tc>
                <w:tcPr>
                  <w:tcW w:w="2024"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&gt; 200-300 IU/mL</w:t>
                  </w:r>
                </w:p>
              </w:tc>
              <w:tc>
                <w:tcPr>
                  <w:tcW w:w="1075"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rPr>
                      <w:rFonts w:ascii="Arial" w:eastAsia="Times New Roman" w:hAnsi="Arial" w:cs="Arial"/>
                      <w:sz w:val="18"/>
                      <w:szCs w:val="18"/>
                    </w:rPr>
                  </w:pPr>
                  <w:r w:rsidRPr="00D536DD">
                    <w:rPr>
                      <w:rFonts w:ascii="Arial" w:eastAsia="Times New Roman" w:hAnsi="Arial" w:cs="Arial"/>
                      <w:sz w:val="18"/>
                      <w:szCs w:val="18"/>
                    </w:rPr>
                    <w:t> </w:t>
                  </w:r>
                </w:p>
              </w:tc>
              <w:tc>
                <w:tcPr>
                  <w:tcW w:w="107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225 mg</w:t>
                  </w:r>
                </w:p>
              </w:tc>
              <w:tc>
                <w:tcPr>
                  <w:tcW w:w="107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225 mg</w:t>
                  </w:r>
                </w:p>
              </w:tc>
              <w:tc>
                <w:tcPr>
                  <w:tcW w:w="107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300 mg</w:t>
                  </w:r>
                </w:p>
              </w:tc>
            </w:tr>
            <w:tr w:rsidR="00C51074" w:rsidRPr="00D536DD" w:rsidTr="00B82918">
              <w:trPr>
                <w:trHeight w:val="191"/>
                <w:jc w:val="center"/>
              </w:trPr>
              <w:tc>
                <w:tcPr>
                  <w:tcW w:w="2024"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&gt; 300-400 IU/mL</w:t>
                  </w:r>
                </w:p>
              </w:tc>
              <w:tc>
                <w:tcPr>
                  <w:tcW w:w="1075"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225 mg</w:t>
                  </w:r>
                </w:p>
              </w:tc>
              <w:tc>
                <w:tcPr>
                  <w:tcW w:w="107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225 mg</w:t>
                  </w:r>
                </w:p>
              </w:tc>
              <w:tc>
                <w:tcPr>
                  <w:tcW w:w="107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300 mg</w:t>
                  </w:r>
                </w:p>
              </w:tc>
              <w:tc>
                <w:tcPr>
                  <w:tcW w:w="107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rPr>
                      <w:rFonts w:ascii="Arial" w:eastAsia="Times New Roman" w:hAnsi="Arial" w:cs="Arial"/>
                      <w:sz w:val="18"/>
                      <w:szCs w:val="18"/>
                    </w:rPr>
                  </w:pPr>
                  <w:r w:rsidRPr="00D536DD">
                    <w:rPr>
                      <w:rFonts w:ascii="Arial" w:eastAsia="Times New Roman" w:hAnsi="Arial" w:cs="Arial"/>
                      <w:sz w:val="18"/>
                      <w:szCs w:val="18"/>
                    </w:rPr>
                    <w:t> </w:t>
                  </w:r>
                </w:p>
              </w:tc>
            </w:tr>
            <w:tr w:rsidR="00C51074" w:rsidRPr="00D536DD" w:rsidTr="00B82918">
              <w:trPr>
                <w:trHeight w:val="205"/>
                <w:jc w:val="center"/>
              </w:trPr>
              <w:tc>
                <w:tcPr>
                  <w:tcW w:w="2024"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&gt; 400-500 IU/mL</w:t>
                  </w:r>
                </w:p>
              </w:tc>
              <w:tc>
                <w:tcPr>
                  <w:tcW w:w="1075"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300 mg</w:t>
                  </w:r>
                </w:p>
              </w:tc>
              <w:tc>
                <w:tcPr>
                  <w:tcW w:w="107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300 mg</w:t>
                  </w:r>
                </w:p>
              </w:tc>
              <w:tc>
                <w:tcPr>
                  <w:tcW w:w="107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375mg</w:t>
                  </w:r>
                </w:p>
              </w:tc>
              <w:tc>
                <w:tcPr>
                  <w:tcW w:w="107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rPr>
                      <w:rFonts w:ascii="Arial" w:eastAsia="Times New Roman" w:hAnsi="Arial" w:cs="Arial"/>
                      <w:sz w:val="18"/>
                      <w:szCs w:val="18"/>
                    </w:rPr>
                  </w:pPr>
                  <w:r w:rsidRPr="00D536DD">
                    <w:rPr>
                      <w:rFonts w:ascii="Arial" w:eastAsia="Times New Roman" w:hAnsi="Arial" w:cs="Arial"/>
                      <w:sz w:val="18"/>
                      <w:szCs w:val="18"/>
                    </w:rPr>
                    <w:t> </w:t>
                  </w:r>
                </w:p>
              </w:tc>
            </w:tr>
            <w:tr w:rsidR="00C51074" w:rsidRPr="00D536DD" w:rsidTr="00B82918">
              <w:trPr>
                <w:trHeight w:val="205"/>
                <w:jc w:val="center"/>
              </w:trPr>
              <w:tc>
                <w:tcPr>
                  <w:tcW w:w="2024"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&gt; 500-600 IU/mL</w:t>
                  </w:r>
                </w:p>
              </w:tc>
              <w:tc>
                <w:tcPr>
                  <w:tcW w:w="1075"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300 mg</w:t>
                  </w:r>
                </w:p>
              </w:tc>
              <w:tc>
                <w:tcPr>
                  <w:tcW w:w="107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375 mg</w:t>
                  </w:r>
                </w:p>
              </w:tc>
              <w:tc>
                <w:tcPr>
                  <w:tcW w:w="2153" w:type="dxa"/>
                  <w:gridSpan w:val="2"/>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DO NOT DOSE</w:t>
                  </w:r>
                </w:p>
              </w:tc>
            </w:tr>
            <w:tr w:rsidR="00C51074" w:rsidRPr="00D536DD" w:rsidTr="00B82918">
              <w:trPr>
                <w:trHeight w:val="205"/>
                <w:jc w:val="center"/>
              </w:trPr>
              <w:tc>
                <w:tcPr>
                  <w:tcW w:w="2024"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&gt; 600-700 IU/mL</w:t>
                  </w:r>
                </w:p>
              </w:tc>
              <w:tc>
                <w:tcPr>
                  <w:tcW w:w="1075"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jc w:val="center"/>
                    <w:rPr>
                      <w:rFonts w:ascii="Arial" w:eastAsia="Times New Roman" w:hAnsi="Arial" w:cs="Arial"/>
                      <w:sz w:val="18"/>
                      <w:szCs w:val="18"/>
                    </w:rPr>
                  </w:pPr>
                  <w:r w:rsidRPr="00D536DD">
                    <w:rPr>
                      <w:rFonts w:ascii="Arial" w:eastAsia="Times New Roman" w:hAnsi="Arial" w:cs="Arial"/>
                      <w:sz w:val="18"/>
                      <w:szCs w:val="18"/>
                    </w:rPr>
                    <w:t>375 mg</w:t>
                  </w:r>
                </w:p>
              </w:tc>
              <w:tc>
                <w:tcPr>
                  <w:tcW w:w="1076"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D536DD" w:rsidRDefault="00C51074" w:rsidP="00C51074">
                  <w:pPr>
                    <w:spacing w:after="0" w:line="240" w:lineRule="auto"/>
                    <w:rPr>
                      <w:rFonts w:ascii="Times New Roman" w:eastAsia="Times New Roman" w:hAnsi="Times New Roman" w:cs="Times New Roman"/>
                      <w:sz w:val="18"/>
                      <w:szCs w:val="18"/>
                    </w:rPr>
                  </w:pPr>
                  <w:r w:rsidRPr="00D536DD">
                    <w:rPr>
                      <w:rFonts w:ascii="Times New Roman" w:eastAsia="Times New Roman" w:hAnsi="Times New Roman" w:cs="Times New Roman"/>
                      <w:sz w:val="18"/>
                      <w:szCs w:val="18"/>
                    </w:rPr>
                    <w:t> </w:t>
                  </w:r>
                </w:p>
              </w:tc>
              <w:tc>
                <w:tcPr>
                  <w:tcW w:w="2153" w:type="dxa"/>
                  <w:gridSpan w:val="2"/>
                  <w:vMerge/>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C51074" w:rsidRPr="00D536DD" w:rsidRDefault="00C51074" w:rsidP="00C51074">
                  <w:pPr>
                    <w:spacing w:after="0" w:line="240" w:lineRule="auto"/>
                    <w:rPr>
                      <w:rFonts w:ascii="Times New Roman" w:eastAsia="Times New Roman" w:hAnsi="Times New Roman" w:cs="Times New Roman"/>
                      <w:sz w:val="18"/>
                      <w:szCs w:val="18"/>
                    </w:rPr>
                  </w:pPr>
                </w:p>
              </w:tc>
            </w:tr>
          </w:tbl>
          <w:p w:rsidR="00C51074" w:rsidRDefault="00C51074" w:rsidP="00C51074">
            <w:pPr>
              <w:rPr>
                <w:b/>
              </w:rPr>
            </w:pPr>
          </w:p>
          <w:p w:rsidR="00C51074" w:rsidRDefault="00C51074" w:rsidP="00C51074">
            <w:pPr>
              <w:rPr>
                <w:b/>
              </w:rPr>
            </w:pPr>
            <w:r w:rsidRPr="00B82918">
              <w:rPr>
                <w:b/>
              </w:rPr>
              <w:t xml:space="preserve">Table 3: Subcutaneous </w:t>
            </w:r>
            <w:r>
              <w:rPr>
                <w:b/>
              </w:rPr>
              <w:t>Omalizumab</w:t>
            </w:r>
            <w:r w:rsidRPr="00B82918">
              <w:rPr>
                <w:b/>
              </w:rPr>
              <w:t xml:space="preserve"> Doses Every 2 or 4 Weeks* for Pediatric Patients with Asthma Who Begin </w:t>
            </w:r>
            <w:r>
              <w:rPr>
                <w:b/>
              </w:rPr>
              <w:t>Omalizumab</w:t>
            </w:r>
            <w:r w:rsidRPr="00B82918">
              <w:rPr>
                <w:b/>
              </w:rPr>
              <w:t xml:space="preserve"> Between the Ages of 6 to &lt; 12 Years</w:t>
            </w:r>
          </w:p>
          <w:p w:rsidR="00C51074" w:rsidRDefault="00C51074" w:rsidP="00C51074">
            <w:pPr>
              <w:rPr>
                <w:b/>
              </w:rPr>
            </w:pPr>
            <w:r>
              <w:rPr>
                <w:b/>
                <w:noProof/>
              </w:rPr>
              <w:lastRenderedPageBreak/>
              <w:drawing>
                <wp:inline distT="0" distB="0" distL="0" distR="0" wp14:anchorId="2D75FC48" wp14:editId="225C2DF9">
                  <wp:extent cx="3959525" cy="25232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lair_dosage.jpg"/>
                          <pic:cNvPicPr/>
                        </pic:nvPicPr>
                        <pic:blipFill>
                          <a:blip r:embed="rId8">
                            <a:extLst>
                              <a:ext uri="{28A0092B-C50C-407E-A947-70E740481C1C}">
                                <a14:useLocalDpi xmlns:a14="http://schemas.microsoft.com/office/drawing/2010/main" val="0"/>
                              </a:ext>
                            </a:extLst>
                          </a:blip>
                          <a:stretch>
                            <a:fillRect/>
                          </a:stretch>
                        </pic:blipFill>
                        <pic:spPr>
                          <a:xfrm>
                            <a:off x="0" y="0"/>
                            <a:ext cx="3960954" cy="2524125"/>
                          </a:xfrm>
                          <a:prstGeom prst="rect">
                            <a:avLst/>
                          </a:prstGeom>
                        </pic:spPr>
                      </pic:pic>
                    </a:graphicData>
                  </a:graphic>
                </wp:inline>
              </w:drawing>
            </w:r>
          </w:p>
          <w:p w:rsidR="00C51074" w:rsidRDefault="00C51074" w:rsidP="00C51074">
            <w:pPr>
              <w:rPr>
                <w:b/>
              </w:rPr>
            </w:pPr>
          </w:p>
          <w:p w:rsidR="008F763E" w:rsidRDefault="008F763E" w:rsidP="00C51074">
            <w:pPr>
              <w:rPr>
                <w:b/>
              </w:rPr>
            </w:pPr>
          </w:p>
          <w:p w:rsidR="008F763E" w:rsidRDefault="008F763E" w:rsidP="008F763E">
            <w:pPr>
              <w:rPr>
                <w:b/>
              </w:rPr>
            </w:pPr>
            <w:r>
              <w:rPr>
                <w:b/>
              </w:rPr>
              <w:t>Preparation and Administration</w:t>
            </w:r>
            <w:r>
              <w:rPr>
                <w:b/>
              </w:rPr>
              <w:br/>
            </w:r>
          </w:p>
          <w:p w:rsidR="008F763E" w:rsidRDefault="008F763E" w:rsidP="008F763E">
            <w:r>
              <w:t>For information regarding preparation and administration, please visit:</w:t>
            </w:r>
          </w:p>
          <w:p w:rsidR="008F763E" w:rsidRDefault="008F763E" w:rsidP="008F763E">
            <w:hyperlink r:id="rId9" w:history="1">
              <w:r w:rsidRPr="00511053">
                <w:rPr>
                  <w:rStyle w:val="Hyperlink"/>
                </w:rPr>
                <w:t>http://www.rxlist.com/xolair-drug/indications-dosage.htm</w:t>
              </w:r>
            </w:hyperlink>
          </w:p>
          <w:p w:rsidR="008F763E" w:rsidRPr="008F763E" w:rsidRDefault="008F763E" w:rsidP="008F763E"/>
        </w:tc>
        <w:tc>
          <w:tcPr>
            <w:tcW w:w="6660" w:type="dxa"/>
          </w:tcPr>
          <w:p w:rsidR="00C51074" w:rsidRPr="00A206AC" w:rsidRDefault="00C51074" w:rsidP="00C51074">
            <w:pPr>
              <w:rPr>
                <w:b/>
              </w:rPr>
            </w:pPr>
            <w:r w:rsidRPr="00A206AC">
              <w:rPr>
                <w:b/>
              </w:rPr>
              <w:lastRenderedPageBreak/>
              <w:t>Recommended Dosage</w:t>
            </w:r>
          </w:p>
          <w:p w:rsidR="00C51074" w:rsidRDefault="00C51074" w:rsidP="00C51074"/>
          <w:p w:rsidR="00C51074" w:rsidRDefault="00C51074" w:rsidP="00C51074">
            <w:r>
              <w:t>Mepolizumab is for subcutaneous use only.</w:t>
            </w:r>
          </w:p>
          <w:p w:rsidR="00C51074" w:rsidRDefault="00C51074" w:rsidP="00C51074"/>
          <w:p w:rsidR="00C51074" w:rsidRDefault="00C51074" w:rsidP="00C51074">
            <w:r>
              <w:t>The recommended dose of mepolizumab is 100 mg administered once every 4 weeks by subcutaneous injection into the upper arm, thigh, or abdomen.</w:t>
            </w:r>
          </w:p>
          <w:p w:rsidR="00C51074" w:rsidRDefault="00C51074" w:rsidP="00C51074"/>
          <w:p w:rsidR="00C51074" w:rsidRPr="00A206AC" w:rsidRDefault="00C51074" w:rsidP="00C51074">
            <w:pPr>
              <w:rPr>
                <w:b/>
              </w:rPr>
            </w:pPr>
            <w:r w:rsidRPr="00A206AC">
              <w:rPr>
                <w:b/>
              </w:rPr>
              <w:t>Preparation And Administration</w:t>
            </w:r>
          </w:p>
          <w:p w:rsidR="00C51074" w:rsidRDefault="00C51074" w:rsidP="00C51074"/>
          <w:p w:rsidR="00C51074" w:rsidRDefault="00C51074" w:rsidP="00C51074">
            <w:r>
              <w:t>Mepolizumab should be reconstituted and administered by a healthcare professional. In line with clinical practice, monitoring of patients after administration of biologic agents is recommended.</w:t>
            </w:r>
          </w:p>
          <w:p w:rsidR="00C51074" w:rsidRDefault="00C51074" w:rsidP="00C51074"/>
          <w:p w:rsidR="00C51074" w:rsidRPr="00A206AC" w:rsidRDefault="00C51074" w:rsidP="00C51074">
            <w:pPr>
              <w:rPr>
                <w:b/>
              </w:rPr>
            </w:pPr>
            <w:r w:rsidRPr="00A206AC">
              <w:rPr>
                <w:b/>
              </w:rPr>
              <w:t>Reconstitution Instructions</w:t>
            </w:r>
          </w:p>
          <w:p w:rsidR="00C51074" w:rsidRDefault="00C51074" w:rsidP="00C51074"/>
          <w:p w:rsidR="00C51074" w:rsidRDefault="00C51074" w:rsidP="00C51074">
            <w:pPr>
              <w:pStyle w:val="ListParagraph"/>
              <w:numPr>
                <w:ilvl w:val="0"/>
                <w:numId w:val="5"/>
              </w:numPr>
              <w:ind w:left="252" w:hanging="270"/>
            </w:pPr>
            <w:r>
              <w:t>Reconstitute mepolizumab in the vial with 1.2 mL Sterile Water for Injection, USP, preferably using a 2-or 3-mL syringe and a 21-G needle. The reconstituted solution will contain a concentration of 100 mg/mL mepolizumab. Do not mix with other medications.</w:t>
            </w:r>
          </w:p>
          <w:p w:rsidR="00C51074" w:rsidRDefault="00C51074" w:rsidP="00C51074">
            <w:pPr>
              <w:pStyle w:val="ListParagraph"/>
              <w:numPr>
                <w:ilvl w:val="0"/>
                <w:numId w:val="5"/>
              </w:numPr>
              <w:ind w:left="252" w:hanging="270"/>
            </w:pPr>
            <w:r>
              <w:t xml:space="preserve">Direct the stream of Sterile Water for Injection vertically onto the center of the lyophilized cake. Gently swirl the vial for 10 seconds with a circular motion at 15-second intervals until the powder is dissolved. </w:t>
            </w:r>
            <w:r w:rsidRPr="00A206AC">
              <w:rPr>
                <w:i/>
              </w:rPr>
              <w:t>Note: Do not shake the reconstituted solution during the procedure as this may lead to product foaming or precipitation. Reconstitution is typically complete within 5 minutes after the Sterile Water for Injection has been added, but it may take additional time.</w:t>
            </w:r>
          </w:p>
          <w:p w:rsidR="00C51074" w:rsidRDefault="00C51074" w:rsidP="00C51074">
            <w:pPr>
              <w:pStyle w:val="ListParagraph"/>
              <w:numPr>
                <w:ilvl w:val="0"/>
                <w:numId w:val="5"/>
              </w:numPr>
              <w:ind w:left="252" w:hanging="270"/>
            </w:pPr>
            <w:r>
              <w:t xml:space="preserve">If a mechanical reconstitution device (swirler) is used to reconstitute mepolizumab, swirl at 450 rpm for no longer than 10 minutes. </w:t>
            </w:r>
            <w:r>
              <w:lastRenderedPageBreak/>
              <w:t>Alternatively, swirling at 1,000 rpm for no longer than 5 minutes is acceptable.</w:t>
            </w:r>
          </w:p>
          <w:p w:rsidR="00C51074" w:rsidRDefault="00C51074" w:rsidP="00C51074">
            <w:pPr>
              <w:pStyle w:val="ListParagraph"/>
              <w:numPr>
                <w:ilvl w:val="0"/>
                <w:numId w:val="5"/>
              </w:numPr>
              <w:ind w:left="252" w:hanging="270"/>
            </w:pPr>
            <w:r>
              <w:t>Visually inspect the reconstituted solution for particulate matter and clarity before use. The solution should be clear to opalescent and colorless to pale yellow or pale brown, essentially particle free. Small air bubbles, however, are expected and acceptable. If particulate matter remains in the solution or if the solution appears cloudy or milky, discard the solution.</w:t>
            </w:r>
          </w:p>
          <w:p w:rsidR="00C51074" w:rsidRDefault="00C51074" w:rsidP="00C51074">
            <w:pPr>
              <w:pStyle w:val="ListParagraph"/>
              <w:numPr>
                <w:ilvl w:val="0"/>
                <w:numId w:val="5"/>
              </w:numPr>
              <w:ind w:left="252" w:hanging="270"/>
            </w:pPr>
            <w:r>
              <w:t>If the reconstituted solution is not used immediately:</w:t>
            </w:r>
          </w:p>
          <w:p w:rsidR="00C51074" w:rsidRDefault="00C51074" w:rsidP="00C51074">
            <w:pPr>
              <w:pStyle w:val="ListParagraph"/>
              <w:numPr>
                <w:ilvl w:val="0"/>
                <w:numId w:val="4"/>
              </w:numPr>
              <w:ind w:left="162" w:hanging="180"/>
            </w:pPr>
            <w:r>
              <w:t>store below 30°C (86°F),</w:t>
            </w:r>
          </w:p>
          <w:p w:rsidR="00C51074" w:rsidRDefault="00C51074" w:rsidP="00C51074">
            <w:pPr>
              <w:pStyle w:val="ListParagraph"/>
              <w:numPr>
                <w:ilvl w:val="0"/>
                <w:numId w:val="4"/>
              </w:numPr>
              <w:ind w:left="162" w:hanging="180"/>
            </w:pPr>
            <w:r>
              <w:t>do not freeze, and</w:t>
            </w:r>
          </w:p>
          <w:p w:rsidR="00C51074" w:rsidRDefault="00C51074" w:rsidP="00C51074">
            <w:pPr>
              <w:pStyle w:val="ListParagraph"/>
              <w:numPr>
                <w:ilvl w:val="0"/>
                <w:numId w:val="4"/>
              </w:numPr>
              <w:ind w:left="162" w:hanging="180"/>
            </w:pPr>
            <w:r>
              <w:t>discard if not used within 8 hours of reconstitution.</w:t>
            </w:r>
          </w:p>
          <w:p w:rsidR="00C51074" w:rsidRDefault="00C51074" w:rsidP="00C51074">
            <w:pPr>
              <w:pStyle w:val="ListParagraph"/>
              <w:ind w:left="162"/>
            </w:pPr>
          </w:p>
          <w:p w:rsidR="00C51074" w:rsidRPr="00A206AC" w:rsidRDefault="00C51074" w:rsidP="00C51074">
            <w:pPr>
              <w:rPr>
                <w:b/>
                <w:i/>
              </w:rPr>
            </w:pPr>
            <w:r w:rsidRPr="00A206AC">
              <w:rPr>
                <w:b/>
                <w:i/>
              </w:rPr>
              <w:t>Administration</w:t>
            </w:r>
          </w:p>
          <w:p w:rsidR="00C51074" w:rsidRDefault="00C51074" w:rsidP="00C51074"/>
          <w:p w:rsidR="00C51074" w:rsidRDefault="00C51074" w:rsidP="00C51074">
            <w:pPr>
              <w:pStyle w:val="ListParagraph"/>
              <w:numPr>
                <w:ilvl w:val="0"/>
                <w:numId w:val="6"/>
              </w:numPr>
              <w:ind w:left="252" w:hanging="270"/>
            </w:pPr>
            <w:r>
              <w:t>For subcutaneous administration, preferably using a 1-mL polypropylene syringe fitted with a disposable 21-to 27-G x 0.5-inch (13-mm) needle.</w:t>
            </w:r>
          </w:p>
          <w:p w:rsidR="00C51074" w:rsidRDefault="00C51074" w:rsidP="00C51074">
            <w:pPr>
              <w:pStyle w:val="ListParagraph"/>
              <w:numPr>
                <w:ilvl w:val="0"/>
                <w:numId w:val="6"/>
              </w:numPr>
              <w:ind w:left="252" w:hanging="270"/>
            </w:pPr>
            <w:r>
              <w:t>Just before administration, remove 1 mL of reconstituted mepolizumab. Do not shake the reconstituted solution during the procedure as this could lead to product foaming or precipitation.</w:t>
            </w:r>
          </w:p>
          <w:p w:rsidR="00C51074" w:rsidRDefault="00C51074" w:rsidP="00C51074">
            <w:pPr>
              <w:pStyle w:val="ListParagraph"/>
              <w:numPr>
                <w:ilvl w:val="0"/>
                <w:numId w:val="6"/>
              </w:numPr>
              <w:ind w:left="252" w:hanging="270"/>
            </w:pPr>
            <w:r>
              <w:t>Administer the 1-mL injection (equivalent to 100 mg mepolizumab) subcutaneously into the upper arm, thigh, or abdomen.</w:t>
            </w:r>
          </w:p>
        </w:tc>
      </w:tr>
    </w:tbl>
    <w:p w:rsidR="008F763E" w:rsidRDefault="008F763E"/>
    <w:p w:rsidR="008F763E" w:rsidRDefault="008F763E">
      <w:r>
        <w:br w:type="page"/>
      </w:r>
    </w:p>
    <w:tbl>
      <w:tblPr>
        <w:tblStyle w:val="TableGrid"/>
        <w:tblW w:w="13248" w:type="dxa"/>
        <w:tblLayout w:type="fixed"/>
        <w:tblLook w:val="04A0" w:firstRow="1" w:lastRow="0" w:firstColumn="1" w:lastColumn="0" w:noHBand="0" w:noVBand="1"/>
      </w:tblPr>
      <w:tblGrid>
        <w:gridCol w:w="6588"/>
        <w:gridCol w:w="6660"/>
      </w:tblGrid>
      <w:tr w:rsidR="00C51074" w:rsidTr="00C51074">
        <w:tc>
          <w:tcPr>
            <w:tcW w:w="13248" w:type="dxa"/>
            <w:gridSpan w:val="2"/>
            <w:shd w:val="clear" w:color="auto" w:fill="D6E3BC" w:themeFill="accent3" w:themeFillTint="66"/>
          </w:tcPr>
          <w:p w:rsidR="00C51074" w:rsidRPr="00C51074" w:rsidRDefault="00C51074" w:rsidP="00C51074">
            <w:pPr>
              <w:jc w:val="center"/>
              <w:rPr>
                <w:b/>
              </w:rPr>
            </w:pPr>
            <w:r w:rsidRPr="00C51074">
              <w:rPr>
                <w:b/>
              </w:rPr>
              <w:lastRenderedPageBreak/>
              <w:t>Side Effects</w:t>
            </w:r>
          </w:p>
        </w:tc>
      </w:tr>
      <w:tr w:rsidR="00C51074" w:rsidTr="00C51074">
        <w:trPr>
          <w:trHeight w:val="251"/>
        </w:trPr>
        <w:tc>
          <w:tcPr>
            <w:tcW w:w="6588" w:type="dxa"/>
            <w:shd w:val="clear" w:color="auto" w:fill="CCC0D9" w:themeFill="accent4" w:themeFillTint="66"/>
          </w:tcPr>
          <w:p w:rsidR="00C51074" w:rsidRPr="00B53240" w:rsidRDefault="00C51074" w:rsidP="00C51074">
            <w:pPr>
              <w:jc w:val="center"/>
              <w:rPr>
                <w:b/>
              </w:rPr>
            </w:pPr>
            <w:r w:rsidRPr="00B53240">
              <w:rPr>
                <w:b/>
              </w:rPr>
              <w:t>Omalizumab</w:t>
            </w:r>
          </w:p>
        </w:tc>
        <w:tc>
          <w:tcPr>
            <w:tcW w:w="6660" w:type="dxa"/>
            <w:shd w:val="clear" w:color="auto" w:fill="B6DDE8" w:themeFill="accent5" w:themeFillTint="66"/>
          </w:tcPr>
          <w:p w:rsidR="00C51074" w:rsidRPr="00B53240" w:rsidRDefault="00C51074" w:rsidP="00C51074">
            <w:pPr>
              <w:jc w:val="center"/>
              <w:rPr>
                <w:b/>
              </w:rPr>
            </w:pPr>
            <w:r w:rsidRPr="00B53240">
              <w:rPr>
                <w:b/>
              </w:rPr>
              <w:t>Mepolizumab</w:t>
            </w:r>
          </w:p>
        </w:tc>
      </w:tr>
      <w:tr w:rsidR="00C51074" w:rsidTr="00EF27A0">
        <w:trPr>
          <w:trHeight w:val="3770"/>
        </w:trPr>
        <w:tc>
          <w:tcPr>
            <w:tcW w:w="6588" w:type="dxa"/>
          </w:tcPr>
          <w:p w:rsidR="00C51074" w:rsidRDefault="00C51074" w:rsidP="00C51074"/>
          <w:tbl>
            <w:tblPr>
              <w:tblW w:w="6292"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3372"/>
              <w:gridCol w:w="1479"/>
              <w:gridCol w:w="1441"/>
            </w:tblGrid>
            <w:tr w:rsidR="00C51074" w:rsidRPr="001F6C06" w:rsidTr="001F6C06">
              <w:tc>
                <w:tcPr>
                  <w:tcW w:w="2680" w:type="pct"/>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b/>
                      <w:bCs/>
                      <w:caps/>
                      <w:color w:val="FFFFFF"/>
                      <w:sz w:val="18"/>
                      <w:szCs w:val="18"/>
                    </w:rPr>
                  </w:pPr>
                  <w:r w:rsidRPr="001F6C06">
                    <w:rPr>
                      <w:rFonts w:ascii="Arial" w:eastAsia="Times New Roman" w:hAnsi="Arial" w:cs="Arial"/>
                      <w:b/>
                      <w:bCs/>
                      <w:caps/>
                      <w:color w:val="FFFFFF"/>
                      <w:sz w:val="18"/>
                      <w:szCs w:val="18"/>
                    </w:rPr>
                    <w:t>ADVERSE REACTION</w:t>
                  </w:r>
                </w:p>
              </w:tc>
              <w:tc>
                <w:tcPr>
                  <w:tcW w:w="1175" w:type="pct"/>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b/>
                      <w:bCs/>
                      <w:caps/>
                      <w:color w:val="FFFFFF"/>
                      <w:sz w:val="18"/>
                      <w:szCs w:val="18"/>
                    </w:rPr>
                  </w:pPr>
                  <w:r>
                    <w:rPr>
                      <w:rFonts w:ascii="Arial" w:eastAsia="Times New Roman" w:hAnsi="Arial" w:cs="Arial"/>
                      <w:b/>
                      <w:bCs/>
                      <w:caps/>
                      <w:color w:val="FFFFFF"/>
                      <w:sz w:val="18"/>
                      <w:szCs w:val="18"/>
                    </w:rPr>
                    <w:t>Omalizumab</w:t>
                  </w:r>
                  <w:r w:rsidRPr="001F6C06">
                    <w:rPr>
                      <w:rFonts w:ascii="Arial" w:eastAsia="Times New Roman" w:hAnsi="Arial" w:cs="Arial"/>
                      <w:b/>
                      <w:bCs/>
                      <w:caps/>
                      <w:color w:val="FFFFFF"/>
                      <w:sz w:val="18"/>
                      <w:szCs w:val="18"/>
                    </w:rPr>
                    <w:t> </w:t>
                  </w:r>
                  <w:r w:rsidRPr="001F6C06">
                    <w:rPr>
                      <w:rFonts w:ascii="Arial" w:eastAsia="Times New Roman" w:hAnsi="Arial" w:cs="Arial"/>
                      <w:b/>
                      <w:bCs/>
                      <w:caps/>
                      <w:color w:val="FFFFFF"/>
                      <w:sz w:val="18"/>
                      <w:szCs w:val="18"/>
                    </w:rPr>
                    <w:br/>
                    <w:t>N = 738</w:t>
                  </w:r>
                </w:p>
              </w:tc>
              <w:tc>
                <w:tcPr>
                  <w:tcW w:w="1144" w:type="pct"/>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b/>
                      <w:bCs/>
                      <w:caps/>
                      <w:color w:val="FFFFFF"/>
                      <w:sz w:val="18"/>
                      <w:szCs w:val="18"/>
                    </w:rPr>
                  </w:pPr>
                  <w:r w:rsidRPr="001F6C06">
                    <w:rPr>
                      <w:rFonts w:ascii="Arial" w:eastAsia="Times New Roman" w:hAnsi="Arial" w:cs="Arial"/>
                      <w:b/>
                      <w:bCs/>
                      <w:caps/>
                      <w:color w:val="FFFFFF"/>
                      <w:sz w:val="18"/>
                      <w:szCs w:val="18"/>
                    </w:rPr>
                    <w:t>PLACEBO </w:t>
                  </w:r>
                  <w:r w:rsidRPr="001F6C06">
                    <w:rPr>
                      <w:rFonts w:ascii="Arial" w:eastAsia="Times New Roman" w:hAnsi="Arial" w:cs="Arial"/>
                      <w:b/>
                      <w:bCs/>
                      <w:caps/>
                      <w:color w:val="FFFFFF"/>
                      <w:sz w:val="18"/>
                      <w:szCs w:val="18"/>
                    </w:rPr>
                    <w:br/>
                    <w:t>N = 717</w:t>
                  </w:r>
                </w:p>
              </w:tc>
            </w:tr>
            <w:tr w:rsidR="00C51074" w:rsidRPr="001F6C06" w:rsidTr="001F6C06">
              <w:tc>
                <w:tcPr>
                  <w:tcW w:w="5000" w:type="pct"/>
                  <w:gridSpan w:val="3"/>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b/>
                      <w:bCs/>
                      <w:color w:val="000000"/>
                      <w:sz w:val="18"/>
                      <w:szCs w:val="18"/>
                      <w:bdr w:val="none" w:sz="0" w:space="0" w:color="auto" w:frame="1"/>
                    </w:rPr>
                    <w:t>Body as a whole</w:t>
                  </w:r>
                </w:p>
              </w:tc>
            </w:tr>
            <w:tr w:rsidR="00C51074" w:rsidRPr="001F6C06" w:rsidTr="001F6C06">
              <w:tc>
                <w:tcPr>
                  <w:tcW w:w="2680"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color w:val="000000"/>
                      <w:sz w:val="18"/>
                      <w:szCs w:val="18"/>
                    </w:rPr>
                    <w:t>  Pain</w:t>
                  </w:r>
                </w:p>
              </w:tc>
              <w:tc>
                <w:tcPr>
                  <w:tcW w:w="1175"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7%</w:t>
                  </w:r>
                </w:p>
              </w:tc>
              <w:tc>
                <w:tcPr>
                  <w:tcW w:w="11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5%</w:t>
                  </w:r>
                </w:p>
              </w:tc>
            </w:tr>
            <w:tr w:rsidR="00C51074" w:rsidRPr="001F6C06" w:rsidTr="001F6C06">
              <w:tc>
                <w:tcPr>
                  <w:tcW w:w="2680"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color w:val="000000"/>
                      <w:sz w:val="18"/>
                      <w:szCs w:val="18"/>
                    </w:rPr>
                    <w:t>  Fatigue</w:t>
                  </w:r>
                </w:p>
              </w:tc>
              <w:tc>
                <w:tcPr>
                  <w:tcW w:w="1175"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3%</w:t>
                  </w:r>
                </w:p>
              </w:tc>
              <w:tc>
                <w:tcPr>
                  <w:tcW w:w="11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2%</w:t>
                  </w:r>
                </w:p>
              </w:tc>
            </w:tr>
            <w:tr w:rsidR="00C51074" w:rsidRPr="001F6C06" w:rsidTr="001F6C06">
              <w:tc>
                <w:tcPr>
                  <w:tcW w:w="5000" w:type="pct"/>
                  <w:gridSpan w:val="3"/>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b/>
                      <w:bCs/>
                      <w:color w:val="000000"/>
                      <w:sz w:val="18"/>
                      <w:szCs w:val="18"/>
                      <w:bdr w:val="none" w:sz="0" w:space="0" w:color="auto" w:frame="1"/>
                    </w:rPr>
                    <w:t>Musculoskeletal system</w:t>
                  </w:r>
                </w:p>
              </w:tc>
            </w:tr>
            <w:tr w:rsidR="00C51074" w:rsidRPr="001F6C06" w:rsidTr="001F6C06">
              <w:tc>
                <w:tcPr>
                  <w:tcW w:w="2680"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color w:val="000000"/>
                      <w:sz w:val="18"/>
                      <w:szCs w:val="18"/>
                    </w:rPr>
                    <w:t>  Arthralgia</w:t>
                  </w:r>
                </w:p>
              </w:tc>
              <w:tc>
                <w:tcPr>
                  <w:tcW w:w="1175"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8%</w:t>
                  </w:r>
                </w:p>
              </w:tc>
              <w:tc>
                <w:tcPr>
                  <w:tcW w:w="11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6%</w:t>
                  </w:r>
                </w:p>
              </w:tc>
            </w:tr>
            <w:tr w:rsidR="00C51074" w:rsidRPr="001F6C06" w:rsidTr="001F6C06">
              <w:tc>
                <w:tcPr>
                  <w:tcW w:w="2680"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color w:val="000000"/>
                      <w:sz w:val="18"/>
                      <w:szCs w:val="18"/>
                    </w:rPr>
                    <w:t>  Fracture</w:t>
                  </w:r>
                </w:p>
              </w:tc>
              <w:tc>
                <w:tcPr>
                  <w:tcW w:w="1175"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2%</w:t>
                  </w:r>
                </w:p>
              </w:tc>
              <w:tc>
                <w:tcPr>
                  <w:tcW w:w="11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1%</w:t>
                  </w:r>
                </w:p>
              </w:tc>
            </w:tr>
            <w:tr w:rsidR="00C51074" w:rsidRPr="001F6C06" w:rsidTr="001F6C06">
              <w:tc>
                <w:tcPr>
                  <w:tcW w:w="2680"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color w:val="000000"/>
                      <w:sz w:val="18"/>
                      <w:szCs w:val="18"/>
                    </w:rPr>
                    <w:t>  Leg pain</w:t>
                  </w:r>
                </w:p>
              </w:tc>
              <w:tc>
                <w:tcPr>
                  <w:tcW w:w="1175"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4%</w:t>
                  </w:r>
                </w:p>
              </w:tc>
              <w:tc>
                <w:tcPr>
                  <w:tcW w:w="11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2%</w:t>
                  </w:r>
                </w:p>
              </w:tc>
            </w:tr>
            <w:tr w:rsidR="00C51074" w:rsidRPr="001F6C06" w:rsidTr="001F6C06">
              <w:tc>
                <w:tcPr>
                  <w:tcW w:w="2680"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color w:val="000000"/>
                      <w:sz w:val="18"/>
                      <w:szCs w:val="18"/>
                    </w:rPr>
                    <w:t>  Arm pain</w:t>
                  </w:r>
                </w:p>
              </w:tc>
              <w:tc>
                <w:tcPr>
                  <w:tcW w:w="1175"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2%</w:t>
                  </w:r>
                </w:p>
              </w:tc>
              <w:tc>
                <w:tcPr>
                  <w:tcW w:w="11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1%</w:t>
                  </w:r>
                </w:p>
              </w:tc>
            </w:tr>
            <w:tr w:rsidR="00C51074" w:rsidRPr="001F6C06" w:rsidTr="001F6C06">
              <w:tc>
                <w:tcPr>
                  <w:tcW w:w="5000" w:type="pct"/>
                  <w:gridSpan w:val="3"/>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b/>
                      <w:bCs/>
                      <w:color w:val="000000"/>
                      <w:sz w:val="18"/>
                      <w:szCs w:val="18"/>
                      <w:bdr w:val="none" w:sz="0" w:space="0" w:color="auto" w:frame="1"/>
                    </w:rPr>
                    <w:t>Nervous system</w:t>
                  </w:r>
                </w:p>
              </w:tc>
            </w:tr>
            <w:tr w:rsidR="00C51074" w:rsidRPr="001F6C06" w:rsidTr="001F6C06">
              <w:tc>
                <w:tcPr>
                  <w:tcW w:w="2680"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color w:val="000000"/>
                      <w:sz w:val="18"/>
                      <w:szCs w:val="18"/>
                    </w:rPr>
                    <w:t>  Dizziness</w:t>
                  </w:r>
                </w:p>
              </w:tc>
              <w:tc>
                <w:tcPr>
                  <w:tcW w:w="1175"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3%</w:t>
                  </w:r>
                </w:p>
              </w:tc>
              <w:tc>
                <w:tcPr>
                  <w:tcW w:w="11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2%</w:t>
                  </w:r>
                </w:p>
              </w:tc>
            </w:tr>
            <w:tr w:rsidR="00C51074" w:rsidRPr="001F6C06" w:rsidTr="001F6C06">
              <w:tc>
                <w:tcPr>
                  <w:tcW w:w="5000" w:type="pct"/>
                  <w:gridSpan w:val="3"/>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b/>
                      <w:bCs/>
                      <w:color w:val="000000"/>
                      <w:sz w:val="18"/>
                      <w:szCs w:val="18"/>
                      <w:bdr w:val="none" w:sz="0" w:space="0" w:color="auto" w:frame="1"/>
                    </w:rPr>
                    <w:t>Skin and appendages</w:t>
                  </w:r>
                </w:p>
              </w:tc>
            </w:tr>
            <w:tr w:rsidR="00C51074" w:rsidRPr="001F6C06" w:rsidTr="001F6C06">
              <w:tc>
                <w:tcPr>
                  <w:tcW w:w="2680"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color w:val="000000"/>
                      <w:sz w:val="18"/>
                      <w:szCs w:val="18"/>
                    </w:rPr>
                    <w:t>  Pruritus</w:t>
                  </w:r>
                </w:p>
              </w:tc>
              <w:tc>
                <w:tcPr>
                  <w:tcW w:w="1175"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2%</w:t>
                  </w:r>
                </w:p>
              </w:tc>
              <w:tc>
                <w:tcPr>
                  <w:tcW w:w="11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1%</w:t>
                  </w:r>
                </w:p>
              </w:tc>
            </w:tr>
            <w:tr w:rsidR="00C51074" w:rsidRPr="001F6C06" w:rsidTr="001F6C06">
              <w:tc>
                <w:tcPr>
                  <w:tcW w:w="2680"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color w:val="000000"/>
                      <w:sz w:val="18"/>
                      <w:szCs w:val="18"/>
                    </w:rPr>
                    <w:t>  Dermatitis</w:t>
                  </w:r>
                </w:p>
              </w:tc>
              <w:tc>
                <w:tcPr>
                  <w:tcW w:w="1175"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2%</w:t>
                  </w:r>
                </w:p>
              </w:tc>
              <w:tc>
                <w:tcPr>
                  <w:tcW w:w="11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1%</w:t>
                  </w:r>
                </w:p>
              </w:tc>
            </w:tr>
            <w:tr w:rsidR="00C51074" w:rsidRPr="001F6C06" w:rsidTr="001F6C06">
              <w:tc>
                <w:tcPr>
                  <w:tcW w:w="5000" w:type="pct"/>
                  <w:gridSpan w:val="3"/>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b/>
                      <w:bCs/>
                      <w:color w:val="000000"/>
                      <w:sz w:val="18"/>
                      <w:szCs w:val="18"/>
                      <w:bdr w:val="none" w:sz="0" w:space="0" w:color="auto" w:frame="1"/>
                    </w:rPr>
                    <w:t>Special senses</w:t>
                  </w:r>
                </w:p>
              </w:tc>
            </w:tr>
            <w:tr w:rsidR="00C51074" w:rsidRPr="001F6C06" w:rsidTr="001F6C06">
              <w:tc>
                <w:tcPr>
                  <w:tcW w:w="2680"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rPr>
                      <w:rFonts w:ascii="Arial" w:eastAsia="Times New Roman" w:hAnsi="Arial" w:cs="Arial"/>
                      <w:color w:val="000000"/>
                      <w:sz w:val="18"/>
                      <w:szCs w:val="18"/>
                    </w:rPr>
                  </w:pPr>
                  <w:r w:rsidRPr="001F6C06">
                    <w:rPr>
                      <w:rFonts w:ascii="Arial" w:eastAsia="Times New Roman" w:hAnsi="Arial" w:cs="Arial"/>
                      <w:color w:val="000000"/>
                      <w:sz w:val="18"/>
                      <w:szCs w:val="18"/>
                    </w:rPr>
                    <w:t>  Earache</w:t>
                  </w:r>
                </w:p>
              </w:tc>
              <w:tc>
                <w:tcPr>
                  <w:tcW w:w="1175"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2%</w:t>
                  </w:r>
                </w:p>
              </w:tc>
              <w:tc>
                <w:tcPr>
                  <w:tcW w:w="11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1F6C06" w:rsidRDefault="00C51074" w:rsidP="00C51074">
                  <w:pPr>
                    <w:spacing w:after="0" w:line="270" w:lineRule="atLeast"/>
                    <w:jc w:val="center"/>
                    <w:rPr>
                      <w:rFonts w:ascii="Arial" w:eastAsia="Times New Roman" w:hAnsi="Arial" w:cs="Arial"/>
                      <w:color w:val="000000"/>
                      <w:sz w:val="18"/>
                      <w:szCs w:val="18"/>
                    </w:rPr>
                  </w:pPr>
                  <w:r w:rsidRPr="001F6C06">
                    <w:rPr>
                      <w:rFonts w:ascii="Arial" w:eastAsia="Times New Roman" w:hAnsi="Arial" w:cs="Arial"/>
                      <w:color w:val="000000"/>
                      <w:sz w:val="18"/>
                      <w:szCs w:val="18"/>
                    </w:rPr>
                    <w:t>1%</w:t>
                  </w:r>
                </w:p>
              </w:tc>
            </w:tr>
          </w:tbl>
          <w:p w:rsidR="00C51074" w:rsidRPr="00B53240" w:rsidRDefault="00C51074" w:rsidP="00C51074">
            <w:pPr>
              <w:rPr>
                <w:b/>
              </w:rPr>
            </w:pPr>
          </w:p>
        </w:tc>
        <w:tc>
          <w:tcPr>
            <w:tcW w:w="6660" w:type="dxa"/>
          </w:tcPr>
          <w:p w:rsidR="00C51074" w:rsidRDefault="00C51074" w:rsidP="00C51074"/>
          <w:tbl>
            <w:tblPr>
              <w:tblW w:w="6274"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2315"/>
              <w:gridCol w:w="2160"/>
              <w:gridCol w:w="1799"/>
            </w:tblGrid>
            <w:tr w:rsidR="00C51074" w:rsidRPr="00EF27A0" w:rsidTr="00EF27A0">
              <w:tc>
                <w:tcPr>
                  <w:tcW w:w="1844" w:type="pct"/>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b/>
                      <w:bCs/>
                      <w:caps/>
                      <w:color w:val="FFFFFF"/>
                      <w:sz w:val="18"/>
                      <w:szCs w:val="18"/>
                    </w:rPr>
                  </w:pPr>
                  <w:r w:rsidRPr="00EF27A0">
                    <w:rPr>
                      <w:rFonts w:ascii="Arial" w:eastAsia="Times New Roman" w:hAnsi="Arial" w:cs="Arial"/>
                      <w:b/>
                      <w:bCs/>
                      <w:caps/>
                      <w:color w:val="FFFFFF"/>
                      <w:sz w:val="18"/>
                      <w:szCs w:val="18"/>
                    </w:rPr>
                    <w:t>ADVERSE REACTION</w:t>
                  </w:r>
                </w:p>
              </w:tc>
              <w:tc>
                <w:tcPr>
                  <w:tcW w:w="1721" w:type="pct"/>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b/>
                      <w:bCs/>
                      <w:caps/>
                      <w:color w:val="FFFFFF"/>
                      <w:sz w:val="18"/>
                      <w:szCs w:val="18"/>
                    </w:rPr>
                  </w:pPr>
                  <w:r w:rsidRPr="00EF27A0">
                    <w:rPr>
                      <w:rFonts w:ascii="Arial" w:eastAsia="Times New Roman" w:hAnsi="Arial" w:cs="Arial"/>
                      <w:b/>
                      <w:bCs/>
                      <w:caps/>
                      <w:color w:val="FFFFFF"/>
                      <w:sz w:val="18"/>
                      <w:szCs w:val="18"/>
                    </w:rPr>
                    <w:t>(</w:t>
                  </w:r>
                  <w:r>
                    <w:rPr>
                      <w:rFonts w:ascii="Arial" w:eastAsia="Times New Roman" w:hAnsi="Arial" w:cs="Arial"/>
                      <w:b/>
                      <w:bCs/>
                      <w:caps/>
                      <w:color w:val="FFFFFF"/>
                      <w:sz w:val="18"/>
                      <w:szCs w:val="18"/>
                    </w:rPr>
                    <w:t>MEPOLIZUMAB 100 MG SUBCUTANEOUS</w:t>
                  </w:r>
                  <w:r w:rsidRPr="00EF27A0">
                    <w:rPr>
                      <w:rFonts w:ascii="Arial" w:eastAsia="Times New Roman" w:hAnsi="Arial" w:cs="Arial"/>
                      <w:b/>
                      <w:bCs/>
                      <w:caps/>
                      <w:color w:val="FFFFFF"/>
                      <w:sz w:val="18"/>
                      <w:szCs w:val="18"/>
                    </w:rPr>
                    <w:br/>
                    <w:t>(N = 263) %</w:t>
                  </w:r>
                </w:p>
              </w:tc>
              <w:tc>
                <w:tcPr>
                  <w:tcW w:w="1434" w:type="pct"/>
                  <w:tcBorders>
                    <w:top w:val="single" w:sz="6" w:space="0" w:color="CCCCCC"/>
                    <w:left w:val="single" w:sz="6" w:space="0" w:color="CCCCCC"/>
                    <w:bottom w:val="single" w:sz="6" w:space="0" w:color="CCCCCC"/>
                    <w:right w:val="single" w:sz="6" w:space="0" w:color="CCCCCC"/>
                  </w:tcBorders>
                  <w:shd w:val="clear" w:color="auto" w:fill="6EACC9"/>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b/>
                      <w:bCs/>
                      <w:caps/>
                      <w:color w:val="FFFFFF"/>
                      <w:sz w:val="18"/>
                      <w:szCs w:val="18"/>
                    </w:rPr>
                  </w:pPr>
                  <w:r w:rsidRPr="00EF27A0">
                    <w:rPr>
                      <w:rFonts w:ascii="Arial" w:eastAsia="Times New Roman" w:hAnsi="Arial" w:cs="Arial"/>
                      <w:b/>
                      <w:bCs/>
                      <w:caps/>
                      <w:color w:val="FFFFFF"/>
                      <w:sz w:val="18"/>
                      <w:szCs w:val="18"/>
                    </w:rPr>
                    <w:t>PLACEBO </w:t>
                  </w:r>
                  <w:r w:rsidRPr="00EF27A0">
                    <w:rPr>
                      <w:rFonts w:ascii="Arial" w:eastAsia="Times New Roman" w:hAnsi="Arial" w:cs="Arial"/>
                      <w:b/>
                      <w:bCs/>
                      <w:caps/>
                      <w:color w:val="FFFFFF"/>
                      <w:sz w:val="18"/>
                      <w:szCs w:val="18"/>
                    </w:rPr>
                    <w:br/>
                    <w:t>(N = 257) %</w:t>
                  </w:r>
                </w:p>
              </w:tc>
            </w:tr>
            <w:tr w:rsidR="00C51074" w:rsidRPr="00EF27A0" w:rsidTr="00EF27A0">
              <w:tc>
                <w:tcPr>
                  <w:tcW w:w="18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rPr>
                      <w:rFonts w:ascii="Arial" w:eastAsia="Times New Roman" w:hAnsi="Arial" w:cs="Arial"/>
                      <w:color w:val="000000"/>
                      <w:sz w:val="18"/>
                      <w:szCs w:val="18"/>
                    </w:rPr>
                  </w:pPr>
                  <w:r w:rsidRPr="00EF27A0">
                    <w:rPr>
                      <w:rFonts w:ascii="Arial" w:eastAsia="Times New Roman" w:hAnsi="Arial" w:cs="Arial"/>
                      <w:color w:val="000000"/>
                      <w:sz w:val="18"/>
                      <w:szCs w:val="18"/>
                    </w:rPr>
                    <w:t>Headache</w:t>
                  </w:r>
                </w:p>
              </w:tc>
              <w:tc>
                <w:tcPr>
                  <w:tcW w:w="1721"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19</w:t>
                  </w:r>
                </w:p>
              </w:tc>
              <w:tc>
                <w:tcPr>
                  <w:tcW w:w="143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18</w:t>
                  </w:r>
                </w:p>
              </w:tc>
            </w:tr>
            <w:tr w:rsidR="00C51074" w:rsidRPr="00EF27A0" w:rsidTr="00EF27A0">
              <w:tc>
                <w:tcPr>
                  <w:tcW w:w="18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rPr>
                      <w:rFonts w:ascii="Arial" w:eastAsia="Times New Roman" w:hAnsi="Arial" w:cs="Arial"/>
                      <w:color w:val="000000"/>
                      <w:sz w:val="18"/>
                      <w:szCs w:val="18"/>
                    </w:rPr>
                  </w:pPr>
                  <w:r w:rsidRPr="00EF27A0">
                    <w:rPr>
                      <w:rFonts w:ascii="Arial" w:eastAsia="Times New Roman" w:hAnsi="Arial" w:cs="Arial"/>
                      <w:color w:val="000000"/>
                      <w:sz w:val="18"/>
                      <w:szCs w:val="18"/>
                    </w:rPr>
                    <w:t>Injection site reaction</w:t>
                  </w:r>
                </w:p>
              </w:tc>
              <w:tc>
                <w:tcPr>
                  <w:tcW w:w="1721"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8</w:t>
                  </w:r>
                </w:p>
              </w:tc>
              <w:tc>
                <w:tcPr>
                  <w:tcW w:w="143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3</w:t>
                  </w:r>
                </w:p>
              </w:tc>
            </w:tr>
            <w:tr w:rsidR="00C51074" w:rsidRPr="00EF27A0" w:rsidTr="00EF27A0">
              <w:tc>
                <w:tcPr>
                  <w:tcW w:w="18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rPr>
                      <w:rFonts w:ascii="Arial" w:eastAsia="Times New Roman" w:hAnsi="Arial" w:cs="Arial"/>
                      <w:color w:val="000000"/>
                      <w:sz w:val="18"/>
                      <w:szCs w:val="18"/>
                    </w:rPr>
                  </w:pPr>
                  <w:r w:rsidRPr="00EF27A0">
                    <w:rPr>
                      <w:rFonts w:ascii="Arial" w:eastAsia="Times New Roman" w:hAnsi="Arial" w:cs="Arial"/>
                      <w:color w:val="000000"/>
                      <w:sz w:val="18"/>
                      <w:szCs w:val="18"/>
                    </w:rPr>
                    <w:t>Back pain</w:t>
                  </w:r>
                </w:p>
              </w:tc>
              <w:tc>
                <w:tcPr>
                  <w:tcW w:w="1721"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5</w:t>
                  </w:r>
                </w:p>
              </w:tc>
              <w:tc>
                <w:tcPr>
                  <w:tcW w:w="143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4</w:t>
                  </w:r>
                </w:p>
              </w:tc>
            </w:tr>
            <w:tr w:rsidR="00C51074" w:rsidRPr="00EF27A0" w:rsidTr="00EF27A0">
              <w:tc>
                <w:tcPr>
                  <w:tcW w:w="18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rPr>
                      <w:rFonts w:ascii="Arial" w:eastAsia="Times New Roman" w:hAnsi="Arial" w:cs="Arial"/>
                      <w:color w:val="000000"/>
                      <w:sz w:val="18"/>
                      <w:szCs w:val="18"/>
                    </w:rPr>
                  </w:pPr>
                  <w:r w:rsidRPr="00EF27A0">
                    <w:rPr>
                      <w:rFonts w:ascii="Arial" w:eastAsia="Times New Roman" w:hAnsi="Arial" w:cs="Arial"/>
                      <w:color w:val="000000"/>
                      <w:sz w:val="18"/>
                      <w:szCs w:val="18"/>
                    </w:rPr>
                    <w:t>Fatigue</w:t>
                  </w:r>
                </w:p>
              </w:tc>
              <w:tc>
                <w:tcPr>
                  <w:tcW w:w="1721"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5</w:t>
                  </w:r>
                </w:p>
              </w:tc>
              <w:tc>
                <w:tcPr>
                  <w:tcW w:w="143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4</w:t>
                  </w:r>
                </w:p>
              </w:tc>
            </w:tr>
            <w:tr w:rsidR="00C51074" w:rsidRPr="00EF27A0" w:rsidTr="00EF27A0">
              <w:tc>
                <w:tcPr>
                  <w:tcW w:w="18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rPr>
                      <w:rFonts w:ascii="Arial" w:eastAsia="Times New Roman" w:hAnsi="Arial" w:cs="Arial"/>
                      <w:color w:val="000000"/>
                      <w:sz w:val="18"/>
                      <w:szCs w:val="18"/>
                    </w:rPr>
                  </w:pPr>
                  <w:r w:rsidRPr="00EF27A0">
                    <w:rPr>
                      <w:rFonts w:ascii="Arial" w:eastAsia="Times New Roman" w:hAnsi="Arial" w:cs="Arial"/>
                      <w:color w:val="000000"/>
                      <w:sz w:val="18"/>
                      <w:szCs w:val="18"/>
                    </w:rPr>
                    <w:t>Influenza</w:t>
                  </w:r>
                </w:p>
              </w:tc>
              <w:tc>
                <w:tcPr>
                  <w:tcW w:w="1721"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3</w:t>
                  </w:r>
                </w:p>
              </w:tc>
              <w:tc>
                <w:tcPr>
                  <w:tcW w:w="143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2</w:t>
                  </w:r>
                </w:p>
              </w:tc>
            </w:tr>
            <w:tr w:rsidR="00C51074" w:rsidRPr="00EF27A0" w:rsidTr="00EF27A0">
              <w:tc>
                <w:tcPr>
                  <w:tcW w:w="18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rPr>
                      <w:rFonts w:ascii="Arial" w:eastAsia="Times New Roman" w:hAnsi="Arial" w:cs="Arial"/>
                      <w:color w:val="000000"/>
                      <w:sz w:val="18"/>
                      <w:szCs w:val="18"/>
                    </w:rPr>
                  </w:pPr>
                  <w:r w:rsidRPr="00EF27A0">
                    <w:rPr>
                      <w:rFonts w:ascii="Arial" w:eastAsia="Times New Roman" w:hAnsi="Arial" w:cs="Arial"/>
                      <w:color w:val="000000"/>
                      <w:sz w:val="18"/>
                      <w:szCs w:val="18"/>
                    </w:rPr>
                    <w:t>Urinary tract infection</w:t>
                  </w:r>
                </w:p>
              </w:tc>
              <w:tc>
                <w:tcPr>
                  <w:tcW w:w="1721"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3</w:t>
                  </w:r>
                </w:p>
              </w:tc>
              <w:tc>
                <w:tcPr>
                  <w:tcW w:w="143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2</w:t>
                  </w:r>
                </w:p>
              </w:tc>
            </w:tr>
            <w:tr w:rsidR="00C51074" w:rsidRPr="00EF27A0" w:rsidTr="00EF27A0">
              <w:tc>
                <w:tcPr>
                  <w:tcW w:w="18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rPr>
                      <w:rFonts w:ascii="Arial" w:eastAsia="Times New Roman" w:hAnsi="Arial" w:cs="Arial"/>
                      <w:color w:val="000000"/>
                      <w:sz w:val="18"/>
                      <w:szCs w:val="18"/>
                    </w:rPr>
                  </w:pPr>
                  <w:r w:rsidRPr="00EF27A0">
                    <w:rPr>
                      <w:rFonts w:ascii="Arial" w:eastAsia="Times New Roman" w:hAnsi="Arial" w:cs="Arial"/>
                      <w:color w:val="000000"/>
                      <w:sz w:val="18"/>
                      <w:szCs w:val="18"/>
                    </w:rPr>
                    <w:t>Abdominal pain upper</w:t>
                  </w:r>
                </w:p>
              </w:tc>
              <w:tc>
                <w:tcPr>
                  <w:tcW w:w="1721"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3</w:t>
                  </w:r>
                </w:p>
              </w:tc>
              <w:tc>
                <w:tcPr>
                  <w:tcW w:w="143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2</w:t>
                  </w:r>
                </w:p>
              </w:tc>
            </w:tr>
            <w:tr w:rsidR="00C51074" w:rsidRPr="00EF27A0" w:rsidTr="00EF27A0">
              <w:tc>
                <w:tcPr>
                  <w:tcW w:w="18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rPr>
                      <w:rFonts w:ascii="Arial" w:eastAsia="Times New Roman" w:hAnsi="Arial" w:cs="Arial"/>
                      <w:color w:val="000000"/>
                      <w:sz w:val="18"/>
                      <w:szCs w:val="18"/>
                    </w:rPr>
                  </w:pPr>
                  <w:r w:rsidRPr="00EF27A0">
                    <w:rPr>
                      <w:rFonts w:ascii="Arial" w:eastAsia="Times New Roman" w:hAnsi="Arial" w:cs="Arial"/>
                      <w:color w:val="000000"/>
                      <w:sz w:val="18"/>
                      <w:szCs w:val="18"/>
                    </w:rPr>
                    <w:t>Pruritus</w:t>
                  </w:r>
                </w:p>
              </w:tc>
              <w:tc>
                <w:tcPr>
                  <w:tcW w:w="1721"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3</w:t>
                  </w:r>
                </w:p>
              </w:tc>
              <w:tc>
                <w:tcPr>
                  <w:tcW w:w="143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2</w:t>
                  </w:r>
                </w:p>
              </w:tc>
            </w:tr>
            <w:tr w:rsidR="00C51074" w:rsidRPr="00EF27A0" w:rsidTr="00EF27A0">
              <w:tc>
                <w:tcPr>
                  <w:tcW w:w="18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rPr>
                      <w:rFonts w:ascii="Arial" w:eastAsia="Times New Roman" w:hAnsi="Arial" w:cs="Arial"/>
                      <w:color w:val="000000"/>
                      <w:sz w:val="18"/>
                      <w:szCs w:val="18"/>
                    </w:rPr>
                  </w:pPr>
                  <w:r w:rsidRPr="00EF27A0">
                    <w:rPr>
                      <w:rFonts w:ascii="Arial" w:eastAsia="Times New Roman" w:hAnsi="Arial" w:cs="Arial"/>
                      <w:color w:val="000000"/>
                      <w:sz w:val="18"/>
                      <w:szCs w:val="18"/>
                    </w:rPr>
                    <w:t>Eczema</w:t>
                  </w:r>
                </w:p>
              </w:tc>
              <w:tc>
                <w:tcPr>
                  <w:tcW w:w="1721"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3</w:t>
                  </w:r>
                </w:p>
              </w:tc>
              <w:tc>
                <w:tcPr>
                  <w:tcW w:w="143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&lt; 1</w:t>
                  </w:r>
                </w:p>
              </w:tc>
            </w:tr>
            <w:tr w:rsidR="00C51074" w:rsidRPr="00EF27A0" w:rsidTr="00EF27A0">
              <w:tc>
                <w:tcPr>
                  <w:tcW w:w="184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rPr>
                      <w:rFonts w:ascii="Arial" w:eastAsia="Times New Roman" w:hAnsi="Arial" w:cs="Arial"/>
                      <w:color w:val="000000"/>
                      <w:sz w:val="18"/>
                      <w:szCs w:val="18"/>
                    </w:rPr>
                  </w:pPr>
                  <w:r w:rsidRPr="00EF27A0">
                    <w:rPr>
                      <w:rFonts w:ascii="Arial" w:eastAsia="Times New Roman" w:hAnsi="Arial" w:cs="Arial"/>
                      <w:color w:val="000000"/>
                      <w:sz w:val="18"/>
                      <w:szCs w:val="18"/>
                    </w:rPr>
                    <w:t>Muscle spasms</w:t>
                  </w:r>
                </w:p>
              </w:tc>
              <w:tc>
                <w:tcPr>
                  <w:tcW w:w="1721"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3</w:t>
                  </w:r>
                </w:p>
              </w:tc>
              <w:tc>
                <w:tcPr>
                  <w:tcW w:w="1434" w:type="pc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C51074" w:rsidRPr="00EF27A0" w:rsidRDefault="00C51074" w:rsidP="00C51074">
                  <w:pPr>
                    <w:spacing w:after="0" w:line="270" w:lineRule="atLeast"/>
                    <w:jc w:val="center"/>
                    <w:rPr>
                      <w:rFonts w:ascii="Arial" w:eastAsia="Times New Roman" w:hAnsi="Arial" w:cs="Arial"/>
                      <w:color w:val="000000"/>
                      <w:sz w:val="18"/>
                      <w:szCs w:val="18"/>
                    </w:rPr>
                  </w:pPr>
                  <w:r w:rsidRPr="00EF27A0">
                    <w:rPr>
                      <w:rFonts w:ascii="Arial" w:eastAsia="Times New Roman" w:hAnsi="Arial" w:cs="Arial"/>
                      <w:color w:val="000000"/>
                      <w:sz w:val="18"/>
                      <w:szCs w:val="18"/>
                    </w:rPr>
                    <w:t>&lt; 1</w:t>
                  </w:r>
                </w:p>
              </w:tc>
            </w:tr>
          </w:tbl>
          <w:p w:rsidR="00C51074" w:rsidRDefault="00C51074" w:rsidP="00C51074"/>
        </w:tc>
      </w:tr>
    </w:tbl>
    <w:p w:rsidR="008F763E" w:rsidRDefault="008F763E"/>
    <w:p w:rsidR="008F763E" w:rsidRDefault="008F763E">
      <w:r>
        <w:br w:type="page"/>
      </w:r>
    </w:p>
    <w:tbl>
      <w:tblPr>
        <w:tblStyle w:val="TableGrid"/>
        <w:tblW w:w="13248" w:type="dxa"/>
        <w:tblLayout w:type="fixed"/>
        <w:tblLook w:val="04A0" w:firstRow="1" w:lastRow="0" w:firstColumn="1" w:lastColumn="0" w:noHBand="0" w:noVBand="1"/>
      </w:tblPr>
      <w:tblGrid>
        <w:gridCol w:w="6588"/>
        <w:gridCol w:w="6660"/>
      </w:tblGrid>
      <w:tr w:rsidR="00C51074" w:rsidTr="002E7092">
        <w:trPr>
          <w:trHeight w:val="350"/>
        </w:trPr>
        <w:tc>
          <w:tcPr>
            <w:tcW w:w="13248" w:type="dxa"/>
            <w:gridSpan w:val="2"/>
            <w:shd w:val="clear" w:color="auto" w:fill="D6E3BC" w:themeFill="accent3" w:themeFillTint="66"/>
            <w:vAlign w:val="center"/>
          </w:tcPr>
          <w:p w:rsidR="00C51074" w:rsidRPr="00C51074" w:rsidRDefault="00C51074" w:rsidP="00C51074">
            <w:pPr>
              <w:jc w:val="center"/>
              <w:rPr>
                <w:b/>
              </w:rPr>
            </w:pPr>
            <w:r w:rsidRPr="00C51074">
              <w:rPr>
                <w:b/>
              </w:rPr>
              <w:lastRenderedPageBreak/>
              <w:t>Time to Improvement</w:t>
            </w:r>
          </w:p>
        </w:tc>
      </w:tr>
      <w:tr w:rsidR="002E7092" w:rsidTr="002E7092">
        <w:trPr>
          <w:trHeight w:val="287"/>
        </w:trPr>
        <w:tc>
          <w:tcPr>
            <w:tcW w:w="6588" w:type="dxa"/>
            <w:shd w:val="clear" w:color="auto" w:fill="CCC0D9" w:themeFill="accent4" w:themeFillTint="66"/>
          </w:tcPr>
          <w:p w:rsidR="002E7092" w:rsidRPr="00B53240" w:rsidRDefault="002E7092" w:rsidP="002E7092">
            <w:pPr>
              <w:jc w:val="center"/>
              <w:rPr>
                <w:b/>
              </w:rPr>
            </w:pPr>
            <w:r w:rsidRPr="00B53240">
              <w:rPr>
                <w:b/>
              </w:rPr>
              <w:t>Omalizumab</w:t>
            </w:r>
          </w:p>
        </w:tc>
        <w:tc>
          <w:tcPr>
            <w:tcW w:w="6660" w:type="dxa"/>
            <w:shd w:val="clear" w:color="auto" w:fill="B6DDE8" w:themeFill="accent5" w:themeFillTint="66"/>
          </w:tcPr>
          <w:p w:rsidR="002E7092" w:rsidRPr="00B53240" w:rsidRDefault="002E7092" w:rsidP="002E7092">
            <w:pPr>
              <w:jc w:val="center"/>
              <w:rPr>
                <w:b/>
              </w:rPr>
            </w:pPr>
            <w:r w:rsidRPr="00B53240">
              <w:rPr>
                <w:b/>
              </w:rPr>
              <w:t>Mepolizumab</w:t>
            </w:r>
          </w:p>
        </w:tc>
      </w:tr>
      <w:tr w:rsidR="002E7092" w:rsidTr="00C51074">
        <w:trPr>
          <w:trHeight w:val="1250"/>
        </w:trPr>
        <w:tc>
          <w:tcPr>
            <w:tcW w:w="6588" w:type="dxa"/>
          </w:tcPr>
          <w:p w:rsidR="002E7092" w:rsidRDefault="002E7092" w:rsidP="002E7092">
            <w:r>
              <w:t>Up to 12 weeks for improvement of chronic idiopathic/spontaneous urticarial (3 doses at 4 week interval)</w:t>
            </w:r>
          </w:p>
        </w:tc>
        <w:tc>
          <w:tcPr>
            <w:tcW w:w="6660" w:type="dxa"/>
          </w:tcPr>
          <w:p w:rsidR="002E7092" w:rsidRDefault="002E7092" w:rsidP="002E7092">
            <w:r>
              <w:t>Significant improvement at around four months (4 injections).</w:t>
            </w:r>
          </w:p>
        </w:tc>
      </w:tr>
      <w:tr w:rsidR="008F763E" w:rsidTr="008F763E">
        <w:trPr>
          <w:trHeight w:val="773"/>
        </w:trPr>
        <w:tc>
          <w:tcPr>
            <w:tcW w:w="13248" w:type="dxa"/>
            <w:gridSpan w:val="2"/>
          </w:tcPr>
          <w:p w:rsidR="008F763E" w:rsidRDefault="008F763E" w:rsidP="008F763E">
            <w:pPr>
              <w:jc w:val="center"/>
            </w:pPr>
          </w:p>
          <w:p w:rsidR="008F763E" w:rsidRDefault="008F763E" w:rsidP="008F763E">
            <w:pPr>
              <w:jc w:val="center"/>
            </w:pPr>
            <w:r w:rsidRPr="008F763E">
              <w:rPr>
                <w:b/>
              </w:rPr>
              <w:t xml:space="preserve">Please note: </w:t>
            </w:r>
            <w:r>
              <w:t>s</w:t>
            </w:r>
            <w:r w:rsidRPr="008F763E">
              <w:t>ome patients ma</w:t>
            </w:r>
            <w:r>
              <w:t xml:space="preserve">y respond better to one agent versus another. </w:t>
            </w:r>
          </w:p>
          <w:p w:rsidR="008F763E" w:rsidRDefault="008F763E" w:rsidP="008F763E">
            <w:pPr>
              <w:jc w:val="center"/>
            </w:pPr>
            <w:r>
              <w:t>F</w:t>
            </w:r>
            <w:r w:rsidRPr="008F763E">
              <w:t>urther work is needed to determine better phenotypic discrim</w:t>
            </w:r>
            <w:r>
              <w:t>in</w:t>
            </w:r>
            <w:r w:rsidRPr="008F763E">
              <w:t>ators of efficacy regarding specific agents.</w:t>
            </w:r>
          </w:p>
          <w:p w:rsidR="008F763E" w:rsidRDefault="008F763E" w:rsidP="008F763E">
            <w:pPr>
              <w:jc w:val="center"/>
            </w:pPr>
            <w:bookmarkStart w:id="0" w:name="_GoBack"/>
            <w:bookmarkEnd w:id="0"/>
          </w:p>
        </w:tc>
      </w:tr>
    </w:tbl>
    <w:p w:rsidR="00C51074" w:rsidRDefault="00C51074"/>
    <w:tbl>
      <w:tblPr>
        <w:tblStyle w:val="TableGrid"/>
        <w:tblW w:w="13248" w:type="dxa"/>
        <w:tblLayout w:type="fixed"/>
        <w:tblLook w:val="04A0" w:firstRow="1" w:lastRow="0" w:firstColumn="1" w:lastColumn="0" w:noHBand="0" w:noVBand="1"/>
      </w:tblPr>
      <w:tblGrid>
        <w:gridCol w:w="13248"/>
      </w:tblGrid>
      <w:tr w:rsidR="00C51074" w:rsidTr="002E7092">
        <w:trPr>
          <w:trHeight w:val="350"/>
        </w:trPr>
        <w:tc>
          <w:tcPr>
            <w:tcW w:w="13248" w:type="dxa"/>
            <w:shd w:val="clear" w:color="auto" w:fill="D6E3BC" w:themeFill="accent3" w:themeFillTint="66"/>
          </w:tcPr>
          <w:p w:rsidR="00C51074" w:rsidRPr="002E7092" w:rsidRDefault="00C51074" w:rsidP="008336DC">
            <w:pPr>
              <w:jc w:val="center"/>
              <w:rPr>
                <w:b/>
              </w:rPr>
            </w:pPr>
            <w:r w:rsidRPr="002E7092">
              <w:rPr>
                <w:b/>
              </w:rPr>
              <w:t xml:space="preserve">Omalizumab vs. Mepolizumab </w:t>
            </w:r>
          </w:p>
        </w:tc>
      </w:tr>
      <w:tr w:rsidR="00C51074" w:rsidTr="00F269AB">
        <w:trPr>
          <w:trHeight w:val="350"/>
        </w:trPr>
        <w:tc>
          <w:tcPr>
            <w:tcW w:w="13248" w:type="dxa"/>
          </w:tcPr>
          <w:p w:rsidR="00C51074" w:rsidRDefault="00C51074" w:rsidP="00C51074">
            <w:r>
              <w:t>“I</w:t>
            </w:r>
            <w:r w:rsidRPr="00684524">
              <w:t xml:space="preserve">f you are deciding between </w:t>
            </w:r>
            <w:r w:rsidR="008336DC">
              <w:t>[mepolizumab]</w:t>
            </w:r>
            <w:r w:rsidRPr="00684524">
              <w:t xml:space="preserve"> vs </w:t>
            </w:r>
            <w:r w:rsidR="008336DC">
              <w:t>[omalizumab]</w:t>
            </w:r>
            <w:r w:rsidRPr="00684524">
              <w:t xml:space="preserve">, if the eosinophil count is very high, </w:t>
            </w:r>
            <w:r w:rsidR="008336DC">
              <w:t>[mepolizumab]</w:t>
            </w:r>
            <w:r w:rsidRPr="00684524">
              <w:t xml:space="preserve"> may be a better option. For </w:t>
            </w:r>
            <w:r w:rsidR="008336DC">
              <w:t>[omalizumab]</w:t>
            </w:r>
            <w:r w:rsidRPr="00684524">
              <w:t>, if the IgE count is very high along with very elevated perennial allergens (i.e. dust mites, cats, dogs, mold) and those are the m</w:t>
            </w:r>
            <w:r>
              <w:t xml:space="preserve">ajor triggers of </w:t>
            </w:r>
            <w:r w:rsidRPr="00684524">
              <w:t xml:space="preserve">your asthma, </w:t>
            </w:r>
            <w:r w:rsidR="008336DC">
              <w:t>[omalizumab]</w:t>
            </w:r>
            <w:r w:rsidRPr="00684524">
              <w:t xml:space="preserve"> may work better.  Although for </w:t>
            </w:r>
            <w:r w:rsidR="008336DC">
              <w:t>[omalizumab]</w:t>
            </w:r>
            <w:r w:rsidRPr="00684524">
              <w:t xml:space="preserve"> the upper limit of the IgE level is 700 IU/ml, if your IgE level is above that, you would not qualify for </w:t>
            </w:r>
            <w:r w:rsidR="008336DC">
              <w:t>[omalizumab]</w:t>
            </w:r>
            <w:r w:rsidRPr="00684524">
              <w:t xml:space="preserve">.  For </w:t>
            </w:r>
            <w:r w:rsidR="008336DC">
              <w:t>[mepolizumab]</w:t>
            </w:r>
            <w:r w:rsidRPr="00684524">
              <w:t xml:space="preserve"> there is no upper limit of the eosinophil count to qualify for the medication.</w:t>
            </w:r>
            <w:r>
              <w:t>”</w:t>
            </w:r>
          </w:p>
          <w:p w:rsidR="00C51074" w:rsidRDefault="00AB4286" w:rsidP="00C51074">
            <w:hyperlink r:id="rId10" w:history="1">
              <w:r w:rsidR="00C51074" w:rsidRPr="00A778D9">
                <w:rPr>
                  <w:rStyle w:val="Hyperlink"/>
                </w:rPr>
                <w:t>http://allergylosangeles.com/allergy-blog/new-asthma-drug-</w:t>
              </w:r>
              <w:r w:rsidR="008336DC">
                <w:rPr>
                  <w:rStyle w:val="Hyperlink"/>
                </w:rPr>
                <w:t>[mepolizumab]</w:t>
              </w:r>
              <w:r w:rsidR="00C51074" w:rsidRPr="00A778D9">
                <w:rPr>
                  <w:rStyle w:val="Hyperlink"/>
                </w:rPr>
                <w:t>-mepolizumab-for-severe-eosinophilic-asthma/</w:t>
              </w:r>
            </w:hyperlink>
          </w:p>
          <w:p w:rsidR="00C51074" w:rsidRDefault="00C51074" w:rsidP="00C51074"/>
          <w:p w:rsidR="002E7092" w:rsidRDefault="002E7092" w:rsidP="00C51074"/>
          <w:p w:rsidR="00C51074" w:rsidRDefault="00C51074" w:rsidP="00C51074">
            <w:r>
              <w:t>“An indirect comparison versus omalizumab found trends in favor of mepolizumab in reducing the rate of clinically significant exacerbation among treatment-eligible severe asthma patients.”</w:t>
            </w:r>
          </w:p>
          <w:p w:rsidR="00C51074" w:rsidRDefault="00C51074" w:rsidP="00C51074">
            <w:r>
              <w:t>Funding: GSK (HO-13-9058).</w:t>
            </w:r>
          </w:p>
          <w:p w:rsidR="00C51074" w:rsidRDefault="00AB4286" w:rsidP="00C51074">
            <w:hyperlink r:id="rId11" w:history="1">
              <w:r w:rsidR="00C51074" w:rsidRPr="00A778D9">
                <w:rPr>
                  <w:rStyle w:val="Hyperlink"/>
                </w:rPr>
                <w:t>http://www.jacionline.org/article/S0091-6749(15)02139-9/pdf</w:t>
              </w:r>
            </w:hyperlink>
          </w:p>
          <w:p w:rsidR="00C51074" w:rsidRDefault="00C51074" w:rsidP="00C51074"/>
          <w:p w:rsidR="00C51074" w:rsidRDefault="00C51074" w:rsidP="00C51074"/>
          <w:p w:rsidR="00C51074" w:rsidRDefault="00C51074" w:rsidP="00C51074">
            <w:r>
              <w:t>“…the newest light on biologic factors in asthma appears to illuminate better the path to further research rather than provide solutions to the challenge of improving outcomes in patients with difficult-to-treat asthma.”</w:t>
            </w:r>
          </w:p>
          <w:p w:rsidR="00C51074" w:rsidRDefault="00AB4286" w:rsidP="00C51074">
            <w:hyperlink r:id="rId12" w:history="1">
              <w:r w:rsidR="00C51074" w:rsidRPr="00A778D9">
                <w:rPr>
                  <w:rStyle w:val="Hyperlink"/>
                </w:rPr>
                <w:t>http://www.jmcp.org/doi/pdf/10.18553/jmcp.2009.15.3.289</w:t>
              </w:r>
            </w:hyperlink>
          </w:p>
          <w:p w:rsidR="00C51074" w:rsidRDefault="00C51074" w:rsidP="00C51074"/>
        </w:tc>
      </w:tr>
    </w:tbl>
    <w:p w:rsidR="00B53240" w:rsidRDefault="00B53240" w:rsidP="00B53240"/>
    <w:sectPr w:rsidR="00B53240" w:rsidSect="00B53240">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86" w:rsidRDefault="00AB4286" w:rsidP="00C51074">
      <w:pPr>
        <w:spacing w:after="0" w:line="240" w:lineRule="auto"/>
      </w:pPr>
      <w:r>
        <w:separator/>
      </w:r>
    </w:p>
  </w:endnote>
  <w:endnote w:type="continuationSeparator" w:id="0">
    <w:p w:rsidR="00AB4286" w:rsidRDefault="00AB4286" w:rsidP="00C5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51074" w:rsidTr="00C51074">
      <w:tc>
        <w:tcPr>
          <w:tcW w:w="6588" w:type="dxa"/>
        </w:tcPr>
        <w:p w:rsidR="00C51074" w:rsidRDefault="00C51074">
          <w:pPr>
            <w:pStyle w:val="Footer"/>
          </w:pPr>
          <w:r>
            <w:rPr>
              <w:noProof/>
            </w:rPr>
            <w:drawing>
              <wp:inline distT="0" distB="0" distL="0" distR="0" wp14:anchorId="27E7CE03" wp14:editId="02D70B55">
                <wp:extent cx="1185062" cy="43159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AI_Logo_Horz_RGB.jpg"/>
                        <pic:cNvPicPr/>
                      </pic:nvPicPr>
                      <pic:blipFill>
                        <a:blip r:embed="rId1">
                          <a:extLst>
                            <a:ext uri="{28A0092B-C50C-407E-A947-70E740481C1C}">
                              <a14:useLocalDpi xmlns:a14="http://schemas.microsoft.com/office/drawing/2010/main" val="0"/>
                            </a:ext>
                          </a:extLst>
                        </a:blip>
                        <a:stretch>
                          <a:fillRect/>
                        </a:stretch>
                      </pic:blipFill>
                      <pic:spPr>
                        <a:xfrm>
                          <a:off x="0" y="0"/>
                          <a:ext cx="1226543" cy="446704"/>
                        </a:xfrm>
                        <a:prstGeom prst="rect">
                          <a:avLst/>
                        </a:prstGeom>
                      </pic:spPr>
                    </pic:pic>
                  </a:graphicData>
                </a:graphic>
              </wp:inline>
            </w:drawing>
          </w:r>
        </w:p>
      </w:tc>
      <w:tc>
        <w:tcPr>
          <w:tcW w:w="6588" w:type="dxa"/>
        </w:tcPr>
        <w:p w:rsidR="00C51074" w:rsidRDefault="00C51074" w:rsidP="00C51074">
          <w:pPr>
            <w:pStyle w:val="Footer"/>
            <w:jc w:val="right"/>
          </w:pPr>
          <w:r w:rsidRPr="00C51074">
            <w:rPr>
              <w:sz w:val="18"/>
            </w:rPr>
            <w:fldChar w:fldCharType="begin"/>
          </w:r>
          <w:r w:rsidRPr="00C51074">
            <w:rPr>
              <w:sz w:val="18"/>
            </w:rPr>
            <w:instrText xml:space="preserve"> PAGE   \* MERGEFORMAT </w:instrText>
          </w:r>
          <w:r w:rsidRPr="00C51074">
            <w:rPr>
              <w:sz w:val="18"/>
            </w:rPr>
            <w:fldChar w:fldCharType="separate"/>
          </w:r>
          <w:r w:rsidR="00585D76">
            <w:rPr>
              <w:noProof/>
              <w:sz w:val="18"/>
            </w:rPr>
            <w:t>6</w:t>
          </w:r>
          <w:r w:rsidRPr="00C51074">
            <w:rPr>
              <w:noProof/>
              <w:sz w:val="18"/>
            </w:rPr>
            <w:fldChar w:fldCharType="end"/>
          </w:r>
        </w:p>
      </w:tc>
    </w:tr>
  </w:tbl>
  <w:p w:rsidR="00C51074" w:rsidRDefault="00C51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86" w:rsidRDefault="00AB4286" w:rsidP="00C51074">
      <w:pPr>
        <w:spacing w:after="0" w:line="240" w:lineRule="auto"/>
      </w:pPr>
      <w:r>
        <w:separator/>
      </w:r>
    </w:p>
  </w:footnote>
  <w:footnote w:type="continuationSeparator" w:id="0">
    <w:p w:rsidR="00AB4286" w:rsidRDefault="00AB4286" w:rsidP="00C51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0E94"/>
    <w:multiLevelType w:val="hybridMultilevel"/>
    <w:tmpl w:val="DF8A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57F09"/>
    <w:multiLevelType w:val="hybridMultilevel"/>
    <w:tmpl w:val="B7A6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564D0"/>
    <w:multiLevelType w:val="hybridMultilevel"/>
    <w:tmpl w:val="9B56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277B4"/>
    <w:multiLevelType w:val="hybridMultilevel"/>
    <w:tmpl w:val="065C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70353"/>
    <w:multiLevelType w:val="hybridMultilevel"/>
    <w:tmpl w:val="6E3C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07461"/>
    <w:multiLevelType w:val="hybridMultilevel"/>
    <w:tmpl w:val="E3AA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40"/>
    <w:rsid w:val="001F6C06"/>
    <w:rsid w:val="002E7092"/>
    <w:rsid w:val="00482266"/>
    <w:rsid w:val="00585D76"/>
    <w:rsid w:val="006059A4"/>
    <w:rsid w:val="00684524"/>
    <w:rsid w:val="007225D0"/>
    <w:rsid w:val="00771827"/>
    <w:rsid w:val="008336DC"/>
    <w:rsid w:val="00854CB6"/>
    <w:rsid w:val="008F763E"/>
    <w:rsid w:val="00985FC1"/>
    <w:rsid w:val="009F2593"/>
    <w:rsid w:val="00A206AC"/>
    <w:rsid w:val="00A41991"/>
    <w:rsid w:val="00AB4286"/>
    <w:rsid w:val="00B10685"/>
    <w:rsid w:val="00B53240"/>
    <w:rsid w:val="00B82918"/>
    <w:rsid w:val="00C51074"/>
    <w:rsid w:val="00C87456"/>
    <w:rsid w:val="00CD0844"/>
    <w:rsid w:val="00D536DD"/>
    <w:rsid w:val="00E16D96"/>
    <w:rsid w:val="00EE2F1D"/>
    <w:rsid w:val="00EF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2232EC-81BB-45B1-A5B8-4C774856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240"/>
    <w:pPr>
      <w:ind w:left="720"/>
      <w:contextualSpacing/>
    </w:pPr>
  </w:style>
  <w:style w:type="paragraph" w:styleId="NormalWeb">
    <w:name w:val="Normal (Web)"/>
    <w:basedOn w:val="Normal"/>
    <w:uiPriority w:val="99"/>
    <w:semiHidden/>
    <w:unhideWhenUsed/>
    <w:rsid w:val="00D536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918"/>
    <w:rPr>
      <w:rFonts w:ascii="Tahoma" w:hAnsi="Tahoma" w:cs="Tahoma"/>
      <w:sz w:val="16"/>
      <w:szCs w:val="16"/>
    </w:rPr>
  </w:style>
  <w:style w:type="character" w:customStyle="1" w:styleId="apple-converted-space">
    <w:name w:val="apple-converted-space"/>
    <w:basedOn w:val="DefaultParagraphFont"/>
    <w:rsid w:val="001F6C06"/>
  </w:style>
  <w:style w:type="character" w:styleId="Hyperlink">
    <w:name w:val="Hyperlink"/>
    <w:basedOn w:val="DefaultParagraphFont"/>
    <w:uiPriority w:val="99"/>
    <w:unhideWhenUsed/>
    <w:rsid w:val="00684524"/>
    <w:rPr>
      <w:color w:val="0000FF" w:themeColor="hyperlink"/>
      <w:u w:val="single"/>
    </w:rPr>
  </w:style>
  <w:style w:type="paragraph" w:styleId="Header">
    <w:name w:val="header"/>
    <w:basedOn w:val="Normal"/>
    <w:link w:val="HeaderChar"/>
    <w:uiPriority w:val="99"/>
    <w:unhideWhenUsed/>
    <w:rsid w:val="00C5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074"/>
  </w:style>
  <w:style w:type="paragraph" w:styleId="Footer">
    <w:name w:val="footer"/>
    <w:basedOn w:val="Normal"/>
    <w:link w:val="FooterChar"/>
    <w:uiPriority w:val="99"/>
    <w:unhideWhenUsed/>
    <w:rsid w:val="00C5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3348">
      <w:bodyDiv w:val="1"/>
      <w:marLeft w:val="0"/>
      <w:marRight w:val="0"/>
      <w:marTop w:val="0"/>
      <w:marBottom w:val="0"/>
      <w:divBdr>
        <w:top w:val="none" w:sz="0" w:space="0" w:color="auto"/>
        <w:left w:val="none" w:sz="0" w:space="0" w:color="auto"/>
        <w:bottom w:val="none" w:sz="0" w:space="0" w:color="auto"/>
        <w:right w:val="none" w:sz="0" w:space="0" w:color="auto"/>
      </w:divBdr>
    </w:div>
    <w:div w:id="197742260">
      <w:bodyDiv w:val="1"/>
      <w:marLeft w:val="0"/>
      <w:marRight w:val="0"/>
      <w:marTop w:val="0"/>
      <w:marBottom w:val="0"/>
      <w:divBdr>
        <w:top w:val="none" w:sz="0" w:space="0" w:color="auto"/>
        <w:left w:val="none" w:sz="0" w:space="0" w:color="auto"/>
        <w:bottom w:val="none" w:sz="0" w:space="0" w:color="auto"/>
        <w:right w:val="none" w:sz="0" w:space="0" w:color="auto"/>
      </w:divBdr>
    </w:div>
    <w:div w:id="1758752127">
      <w:bodyDiv w:val="1"/>
      <w:marLeft w:val="0"/>
      <w:marRight w:val="0"/>
      <w:marTop w:val="0"/>
      <w:marBottom w:val="0"/>
      <w:divBdr>
        <w:top w:val="none" w:sz="0" w:space="0" w:color="auto"/>
        <w:left w:val="none" w:sz="0" w:space="0" w:color="auto"/>
        <w:bottom w:val="none" w:sz="0" w:space="0" w:color="auto"/>
        <w:right w:val="none" w:sz="0" w:space="0" w:color="auto"/>
      </w:divBdr>
    </w:div>
    <w:div w:id="210267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mcp.org/doi/pdf/10.18553/jmcp.2009.15.3.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ionline.org/article/S0091-6749(15)02139-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llergylosangeles.com/allergy-blog/new-asthma-drug-nucala-mepolizumab-for-severe-eosinophilic-asthma/" TargetMode="External"/><Relationship Id="rId4" Type="http://schemas.openxmlformats.org/officeDocument/2006/relationships/webSettings" Target="webSettings.xml"/><Relationship Id="rId9" Type="http://schemas.openxmlformats.org/officeDocument/2006/relationships/hyperlink" Target="http://www.rxlist.com/xolair-drug/indications-dosage.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Kolehmainen</cp:lastModifiedBy>
  <cp:revision>2</cp:revision>
  <dcterms:created xsi:type="dcterms:W3CDTF">2016-09-13T20:16:00Z</dcterms:created>
  <dcterms:modified xsi:type="dcterms:W3CDTF">2016-09-13T20:16:00Z</dcterms:modified>
</cp:coreProperties>
</file>